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eastAsia" w:asciiTheme="minorEastAsia" w:hAnsiTheme="minorEastAsia" w:eastAsiaTheme="minorEastAsia" w:cstheme="minorEastAsia"/>
          <w:color w:val="333333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2"/>
          <w:sz w:val="44"/>
          <w:szCs w:val="44"/>
          <w:shd w:val="clear" w:color="auto" w:fill="FFFFFF"/>
          <w:lang w:val="en-US" w:eastAsia="zh-CN" w:bidi="ar-SA"/>
        </w:rPr>
        <w:t>山东省行政处罚听证程序实施办法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  <w:lang w:val="en-US" w:eastAsia="zh-CN"/>
        </w:rPr>
        <w:t>（1997年6月24日山东省人民政府令第80号公布 根据2024年1月4日山东省人民政府令第357号《山东省人民政府关于修改和废止部分省政府规章的决定》修正）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lang w:val="en-US" w:eastAsia="zh-CN" w:bidi="ar-SA"/>
        </w:rPr>
        <w:t>第一条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　为了规范行政处罚听证程序，维护公民、法人和其他组织的合法权益，根据《中华人民共和国行政处罚法》，制定本办法。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lang w:val="en-US" w:eastAsia="zh-CN" w:bidi="ar-SA"/>
        </w:rPr>
        <w:t>第二条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　本省行政区域内各级行政机关（含法律、法规授权的具有管理公共事务职能的组织）对当事人依法作出下列行政处罚之前，应当告知当事人有要求举行听证的权利: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（一）较大数额罚款;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（二）没收较大数额违法所得、没收较大价值非法财物；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（三）降低资质等级、吊销许可证件；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（四）责令停产停业、责令关闭、限制从业；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（五）其他较重的行政处罚；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（六）法律、法规、规章规定的其他情形。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前款所称的较大数额罚款、较大数额违法所得、较大价值非法财物，是指对公民作出的罚款处罚、没收的违法所得、没收的非法财物价值达到5000元以上；对法人或者其他组织作出的罚款处罚、没收的违法所得、没收的非法财物价值达到5万元以上。法律、法规、规章另有规定的，从其规定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lang w:val="en-US" w:eastAsia="zh-CN" w:bidi="ar-SA"/>
        </w:rPr>
        <w:t>第三条　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听证应当遵循公开、公正、及时、便民的原则，保障当事人陈述、申辩和质证的权利。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lang w:val="en-US" w:eastAsia="zh-CN" w:bidi="ar-SA"/>
        </w:rPr>
        <w:t>第四条　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听证由作出行政处罚的行政机关组织，具体组织工作由其法制机构或者承担法制工作任务的机构负责。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lang w:val="en-US" w:eastAsia="zh-CN" w:bidi="ar-SA"/>
        </w:rPr>
        <w:t>第五条　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听证由行政机关指定的非本案调查人员主持，并应当有专人记录。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听证主持人应当由在行政机关法制机构工作2年以上或者从事行政执法工作5年以上的人员担任。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听证主持人实行资格认证制度，由省人民政府司法行政部门统一负责，并颁发资格证书。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lang w:val="en-US" w:eastAsia="zh-CN" w:bidi="ar-SA"/>
        </w:rPr>
        <w:t>第六条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　听证主持人履行下列职责：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（一）审核听证参与人的资格；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（二）主持听证会；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（三）维持听证会秩序，制止违反听证纪律的行为；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（四）决定中止听证，宣布终止听证；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（五）审阅听证笔录，并根据听证笔录形成听证报告；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（六）法律、法规、规章规定的其他职责。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lang w:val="en-US" w:eastAsia="zh-CN" w:bidi="ar-SA"/>
        </w:rPr>
        <w:t>第七条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　行政机关在案件调查终结后，经行政机关负责人审查，拟作出本办法第二条规定的行政处罚前，应当告知当事人有要求举行听证的权利，并告知认定当事人违法的基本事实、理由、依据和拟作出的行政处罚。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当事人要求听证的，应当在告知书的送达回证上签署意见，也可以在5个工作日内以书面方式向行政机关提出听证要求。当事人逾期未提出要求的，视为放弃听证权利，记录在案，行政机关即可依法作出行政处罚决定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lang w:val="en-US" w:eastAsia="zh-CN" w:bidi="ar-SA"/>
        </w:rPr>
        <w:t>第八条　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当事人提出听证要求后，行政机关应当在20日内组织听证，并在举行听证的７个工作日前，通知当事人举行听证的时间、地点以及主持人、记录人的姓名、职务等有关事项，由当事人在通知书送达回证上签字。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当事人应当按期参加听证。当事人有正当理由要求延期的，准许延期；当事人及其代理人无正当理由拒不参加听证会的，视为放弃听证权利，由听证主持人在笔录中注明。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lang w:val="en-US" w:eastAsia="zh-CN" w:bidi="ar-SA"/>
        </w:rPr>
        <w:t>第九条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　听证参加人包括行政处罚案件的当事人及其委托代理人、第三人、证人、翻译人员、鉴定人、勘验人以及该案调查人员。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当事人可以委托１至２名代理人参加听证；当事人委托代理人参加听证的，应当在举行听证前向行政机关提交授权委托书。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lang w:val="en-US" w:eastAsia="zh-CN" w:bidi="ar-SA"/>
        </w:rPr>
        <w:t>第十条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　除涉及国家秘密、商业秘密或者个人隐私外，听证会应当公开举行。听证会举行前，行政机关应当将听证的内容、时间、地点以及有关事项，予以公告。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lang w:val="en-US" w:eastAsia="zh-CN" w:bidi="ar-SA"/>
        </w:rPr>
        <w:t>第十一条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　听证主持人与本案有直接利害关系的，应当回避。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当事人认为听证主持人与本案有直接利害关系的，有权向行政机关提出回避申请。是否回避，由行政机关负责人审核决定。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lang w:val="en-US" w:eastAsia="zh-CN" w:bidi="ar-SA"/>
        </w:rPr>
        <w:t>第十二条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　当事人在听证中有权对调查人员提出的事实、证据、理由及依据进行陈述、申辩和质证；有权提出新的事实、理由和证据。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当事人在听证中应当如实陈述案件事实。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lang w:val="en-US" w:eastAsia="zh-CN" w:bidi="ar-SA"/>
        </w:rPr>
        <w:t>第十三条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　听证参加人和旁听人员，应当遵守以下听证纪律：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（一）未经听证主持人允许，不得录音、录像或者摄影；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（二）听证参加人未经听证主持人允许，不得发言、提问或者议论；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（三）当事人及其代理人未经听证主持人许可不得提前退出听证会；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（四）旁听人员应当保持肃静，不得发言、提问或者议论。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lang w:val="en-US" w:eastAsia="zh-CN" w:bidi="ar-SA"/>
        </w:rPr>
        <w:t>第十四条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　当事人及其代理人未经许可中途退出听证会的，视为放弃听证权利，由听证主持人在笔录中注明。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对违反听证纪律的旁听人员，听证主持人有权责令其退出听证会；情节严重，妨碍听证会正常进行的，由公安机关依法处理。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lang w:val="en-US" w:eastAsia="zh-CN" w:bidi="ar-SA"/>
        </w:rPr>
        <w:t>第十五条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　听证会应当按照下列程序进行：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（一）听证记录人宣布听证纪律、当事人的权利和义务。听证主持人介绍主持人和记录人，询问核实听证参加人的身份，询问当事人是否申请回避，宣布听证开始；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（二）调查人员提出当事人违法的事实、证据、行政处罚依据以及处罚建议；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（三）当事人就案件的事实、理由进行陈述和申辩，对调查人员提出的证据进行质证，并可提出有利于维护自身合法权益的事实、理由和证据；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（四）听证参加人就案件的性质、情节及处罚建议进行辩论；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（五）当事人作最后陈述；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（六）听证主持人宣布听证会结束。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听证笔录交当事人或者其代理人核对无误后签字或者盖章。当事人或者其代理人拒绝签字或者盖章的，由听证主持人在笔录中注明。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lang w:val="en-US" w:eastAsia="zh-CN" w:bidi="ar-SA"/>
        </w:rPr>
        <w:t>第十六条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　听证会结束后，听证主持人应当依据听证情况，写出听证报告，连同听证笔录报行政机关负责人。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听证报告应当载明听证的时间、地点、参加人、记录人、主持人；当事人或者其代理人与调查人员对违法的事实、证据的认定和对处罚建议的主要分歧；主持人的意见和建议。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对当事人或者其代理人在听证中提出的新的事实、理由和证据，由调查人员进行复核，并报行政机关负责人。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lang w:val="en-US" w:eastAsia="zh-CN" w:bidi="ar-SA"/>
        </w:rPr>
        <w:t>第十七条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　行政机关应当根据听证笔录以及当事人的违法事实、证据和有关法律、法规、规章，依照《中华人民共和国行政处罚法》第五十七条的规定，作出决定。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lang w:val="en-US" w:eastAsia="zh-CN" w:bidi="ar-SA"/>
        </w:rPr>
        <w:t>第十八条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　有下列情形之一的，听证主持人应当中止听证：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（一）当事人死亡或者终止，需要确定权利义务承继者的；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（二）当事人或者案件调查人员因不可抗力事件未能参加听证的；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（三）在听证过程中，需要对有关证据重新鉴定或者勘验的；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（四）在听证过程中，需要通知新的证人到会，调取新的证据的；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（五）出现其他需要中止听证情形的。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中止听证的情形消除后，听证主持人应当恢复听证。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lang w:val="en-US" w:eastAsia="zh-CN" w:bidi="ar-SA"/>
        </w:rPr>
        <w:t>第十九条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　有下列情形之一的，行政机关应当终止听证：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（一）当事人死亡或者终止满3个月后，未确定权利义务承继者的；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（二）当事人及其代理人无正当理由拒不出席听证会的；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（三）当事人及其代理人未经许可中途退出听证会的；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（四）在听证过程中，当事人或者其代理人扰乱听证秩序且不听劝阻，致使听证会无法正常进行的；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（五）出现其他需要终止听证情形的。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lang w:val="en-US" w:eastAsia="zh-CN" w:bidi="ar-SA"/>
        </w:rPr>
        <w:t>第二十条　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当事人对限制人身自由的行政处罚有异议的，依照《中华人民共和国治安管理处罚法》有关规定执行。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lang w:val="en-US" w:eastAsia="zh-CN" w:bidi="ar-SA"/>
        </w:rPr>
        <w:t>第二十一条　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违反本办法规定，有下列行为之一的，行政处罚无效：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（一）应当告知当事人有要求举行听证的权利，没有告知的；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（二）应当组织听证，没有组织听证的；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（三）有其他严重违反听证程序行为的。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lang w:val="en-US" w:eastAsia="zh-CN" w:bidi="ar-SA"/>
        </w:rPr>
        <w:t>第二十二条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　行政机关组织听证，不得向当事人收取任何费用。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lang w:val="en-US" w:eastAsia="zh-CN" w:bidi="ar-SA"/>
        </w:rPr>
        <w:t>第二十三条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-SA"/>
        </w:rPr>
        <w:t>　本办法自1997年7月1日起施行。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4"/>
      <w:wordWrap w:val="0"/>
      <w:ind w:left="4788" w:leftChars="2280" w:firstLine="6400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default"/>
        <w:color w:val="FAFAFA"/>
        <w:sz w:val="3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OnpdHUAAAABgEAAA8AAAAAAAAAAQAgAAAAIgAAAGRycy9k&#10;b3ducmV2LnhtbFBLAQIUABQAAAAIAIdO4kCuozrgzQEAAGcDAAAOAAAAAAAAAAEAIAAAACMBAABk&#10;cnMvZTJvRG9jLnhtbFBLBQYAAAAABgAGAFkBAABi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>山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山东省人民政府发布     </w:t>
    </w:r>
  </w:p>
  <w:p>
    <w:pPr>
      <w:pStyle w:val="4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1EdA1tUAAAAJAQAADwAAAAAAAAABACAA&#10;AAAiAAAAZHJzL2Rvd25yZXYueG1sUEsBAhQAFAAAAAgAh07iQOPuMRnXAQAAbwMAAA4AAAAAAAAA&#10;AQAgAAAAJAEAAGRycy9lMm9Eb2MueG1sUEsFBgAAAAAGAAYAWQEAAG0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山东省人民政府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4B679C3"/>
    <w:rsid w:val="080F63D8"/>
    <w:rsid w:val="09341458"/>
    <w:rsid w:val="0B0912D7"/>
    <w:rsid w:val="152D2DCA"/>
    <w:rsid w:val="17FF0B23"/>
    <w:rsid w:val="1DEC284C"/>
    <w:rsid w:val="1E6523AC"/>
    <w:rsid w:val="22440422"/>
    <w:rsid w:val="31A15F24"/>
    <w:rsid w:val="31A737E6"/>
    <w:rsid w:val="33D23A93"/>
    <w:rsid w:val="36C36526"/>
    <w:rsid w:val="395347B5"/>
    <w:rsid w:val="39A232A0"/>
    <w:rsid w:val="39E745AA"/>
    <w:rsid w:val="3A643137"/>
    <w:rsid w:val="3B5A6BBB"/>
    <w:rsid w:val="3EDA13A6"/>
    <w:rsid w:val="42F058B7"/>
    <w:rsid w:val="436109F6"/>
    <w:rsid w:val="441A38D4"/>
    <w:rsid w:val="4BC77339"/>
    <w:rsid w:val="4C9236C5"/>
    <w:rsid w:val="505C172E"/>
    <w:rsid w:val="52F46F0B"/>
    <w:rsid w:val="53D8014D"/>
    <w:rsid w:val="55E064E0"/>
    <w:rsid w:val="572C6D10"/>
    <w:rsid w:val="5DC34279"/>
    <w:rsid w:val="608816D1"/>
    <w:rsid w:val="60EF4E7F"/>
    <w:rsid w:val="665233C1"/>
    <w:rsid w:val="694E29D2"/>
    <w:rsid w:val="6AD9688B"/>
    <w:rsid w:val="6D0E3F22"/>
    <w:rsid w:val="76FC3FE3"/>
    <w:rsid w:val="7C9011D9"/>
    <w:rsid w:val="7DC651C5"/>
    <w:rsid w:val="7FCC283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2021-09-09T02:41:00Z</dcterms:created>
  <dc:creator>t</dc:creator>
  <cp:lastModifiedBy>user</cp:lastModifiedBy>
  <cp:lastPrinted>2021-10-26T03:30:00Z</cp:lastPrinted>
  <dcterms:modified xsi:type="dcterms:W3CDTF">2024-01-10T06:40:11Z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48C61CB29D3F4D9384F5922CF0F7FFB4</vt:lpwstr>
  </property>
</Properties>
</file>