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val="0"/>
        <w:snapToGrid w:val="0"/>
        <w:spacing w:before="240" w:after="60" w:line="580" w:lineRule="exact"/>
        <w:ind w:left="0" w:leftChars="0" w:right="0" w:rightChars="0" w:firstLine="0" w:firstLineChars="0"/>
        <w:jc w:val="center"/>
        <w:textAlignment w:val="auto"/>
        <w:outlineLvl w:val="0"/>
        <w:rPr>
          <w:rFonts w:asciiTheme="majorEastAsia" w:hAnsiTheme="majorEastAsia" w:eastAsiaTheme="majorEastAsia"/>
          <w:sz w:val="44"/>
          <w:szCs w:val="44"/>
        </w:rPr>
      </w:pPr>
    </w:p>
    <w:p>
      <w:pPr>
        <w:pStyle w:val="6"/>
        <w:keepNext w:val="0"/>
        <w:keepLines w:val="0"/>
        <w:pageBreakBefore w:val="0"/>
        <w:widowControl/>
        <w:kinsoku/>
        <w:wordWrap/>
        <w:overflowPunct/>
        <w:topLinePunct w:val="0"/>
        <w:autoSpaceDE/>
        <w:autoSpaceDN/>
        <w:bidi w:val="0"/>
        <w:adjustRightInd w:val="0"/>
        <w:snapToGrid w:val="0"/>
        <w:spacing w:before="240" w:after="60" w:line="580" w:lineRule="exact"/>
        <w:ind w:left="0" w:leftChars="0" w:right="0" w:rightChars="0" w:firstLine="0" w:firstLineChars="0"/>
        <w:jc w:val="center"/>
        <w:textAlignment w:val="auto"/>
        <w:outlineLvl w:val="0"/>
        <w:rPr>
          <w:rFonts w:asciiTheme="majorEastAsia" w:hAnsiTheme="majorEastAsia" w:eastAsiaTheme="majorEastAsia"/>
          <w:sz w:val="44"/>
          <w:szCs w:val="44"/>
        </w:rPr>
      </w:pPr>
    </w:p>
    <w:p>
      <w:pPr>
        <w:pStyle w:val="6"/>
        <w:keepNext w:val="0"/>
        <w:keepLines w:val="0"/>
        <w:pageBreakBefore w:val="0"/>
        <w:widowControl/>
        <w:kinsoku/>
        <w:wordWrap/>
        <w:overflowPunct/>
        <w:topLinePunct w:val="0"/>
        <w:autoSpaceDE/>
        <w:autoSpaceDN/>
        <w:bidi w:val="0"/>
        <w:adjustRightInd w:val="0"/>
        <w:snapToGrid w:val="0"/>
        <w:spacing w:before="0" w:after="0" w:line="580" w:lineRule="exact"/>
        <w:ind w:left="0" w:leftChars="0" w:right="0" w:rightChars="0" w:firstLine="0" w:firstLineChars="0"/>
        <w:jc w:val="center"/>
        <w:textAlignment w:val="auto"/>
        <w:outlineLvl w:val="0"/>
        <w:rPr>
          <w:rFonts w:asciiTheme="majorEastAsia" w:hAnsiTheme="majorEastAsia" w:eastAsiaTheme="majorEastAsia"/>
          <w:sz w:val="44"/>
          <w:szCs w:val="44"/>
        </w:rPr>
      </w:pPr>
      <w:r>
        <w:rPr>
          <w:rFonts w:asciiTheme="majorEastAsia" w:hAnsiTheme="majorEastAsia" w:eastAsiaTheme="majorEastAsia"/>
          <w:sz w:val="44"/>
          <w:szCs w:val="44"/>
        </w:rPr>
        <w:t>山东省商务厅</w:t>
      </w:r>
    </w:p>
    <w:p>
      <w:pPr>
        <w:pStyle w:val="6"/>
        <w:keepNext w:val="0"/>
        <w:keepLines w:val="0"/>
        <w:pageBreakBefore w:val="0"/>
        <w:widowControl/>
        <w:kinsoku/>
        <w:wordWrap/>
        <w:overflowPunct/>
        <w:topLinePunct w:val="0"/>
        <w:autoSpaceDE/>
        <w:autoSpaceDN/>
        <w:bidi w:val="0"/>
        <w:adjustRightInd w:val="0"/>
        <w:snapToGrid w:val="0"/>
        <w:spacing w:before="0" w:after="0" w:line="580" w:lineRule="exact"/>
        <w:ind w:left="0" w:leftChars="0" w:right="0" w:rightChars="0" w:firstLine="0" w:firstLineChars="0"/>
        <w:jc w:val="center"/>
        <w:textAlignment w:val="auto"/>
        <w:outlineLvl w:val="0"/>
        <w:rPr>
          <w:rFonts w:asciiTheme="majorEastAsia" w:hAnsiTheme="majorEastAsia" w:eastAsiaTheme="majorEastAsia"/>
          <w:sz w:val="44"/>
          <w:szCs w:val="44"/>
        </w:rPr>
      </w:pPr>
      <w:r>
        <w:rPr>
          <w:rFonts w:asciiTheme="majorEastAsia" w:hAnsiTheme="majorEastAsia" w:eastAsiaTheme="majorEastAsia"/>
          <w:sz w:val="44"/>
          <w:szCs w:val="44"/>
        </w:rPr>
        <w:t>201</w:t>
      </w:r>
      <w:r>
        <w:rPr>
          <w:rFonts w:hint="eastAsia" w:asciiTheme="majorEastAsia" w:hAnsiTheme="majorEastAsia" w:eastAsiaTheme="majorEastAsia"/>
          <w:sz w:val="44"/>
          <w:szCs w:val="44"/>
          <w:lang w:val="en-US" w:eastAsia="zh-CN"/>
        </w:rPr>
        <w:t>7</w:t>
      </w:r>
      <w:r>
        <w:rPr>
          <w:rFonts w:asciiTheme="majorEastAsia" w:hAnsiTheme="majorEastAsia" w:eastAsiaTheme="majorEastAsia"/>
          <w:sz w:val="44"/>
          <w:szCs w:val="44"/>
        </w:rPr>
        <w:t>年政府信息公开工作年度报告</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textAlignment w:val="auto"/>
        <w:rPr>
          <w:rFonts w:asciiTheme="minorEastAsia" w:hAnsiTheme="minorEastAsia" w:eastAsiaTheme="minorEastAsia"/>
        </w:rPr>
      </w:pP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640" w:firstLineChars="200"/>
        <w:jc w:val="both"/>
        <w:textAlignment w:val="auto"/>
        <w:outlineLvl w:val="9"/>
        <w:rPr>
          <w:rFonts w:hint="eastAsia"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根据《中华人民共和国政府信息公开条例》、《国务院办公厅关于加强和规范政府信息公开情况统计报送工作的通知》和《山东省政府信息公开办法》等有关规定要求，现公布山东省商务厅201</w:t>
      </w:r>
      <w:r>
        <w:rPr>
          <w:rFonts w:hint="eastAsia" w:ascii="仿宋_GB2312" w:eastAsia="仿宋_GB2312" w:cs="宋体" w:hAnsiTheme="minorEastAsia"/>
          <w:color w:val="000000"/>
          <w:sz w:val="32"/>
          <w:szCs w:val="32"/>
          <w:lang w:val="en-US" w:eastAsia="zh-CN"/>
        </w:rPr>
        <w:t>7</w:t>
      </w:r>
      <w:r>
        <w:rPr>
          <w:rFonts w:hint="eastAsia" w:ascii="仿宋_GB2312" w:eastAsia="仿宋_GB2312" w:cs="宋体" w:hAnsiTheme="minorEastAsia"/>
          <w:color w:val="000000"/>
          <w:sz w:val="32"/>
          <w:szCs w:val="32"/>
        </w:rPr>
        <w:t>年度政府信息公开工作年度报告。本报告由政府信息公开情况概述、主动公开政府信息情况、政府信息公开工作存在的主要问题及下步措施与附表等组成。本报告中数据统计时限自201</w:t>
      </w:r>
      <w:r>
        <w:rPr>
          <w:rFonts w:hint="eastAsia" w:ascii="仿宋_GB2312" w:eastAsia="仿宋_GB2312" w:cs="宋体" w:hAnsiTheme="minorEastAsia"/>
          <w:color w:val="000000"/>
          <w:sz w:val="32"/>
          <w:szCs w:val="32"/>
          <w:lang w:val="en-US" w:eastAsia="zh-CN"/>
        </w:rPr>
        <w:t>7</w:t>
      </w:r>
      <w:r>
        <w:rPr>
          <w:rFonts w:hint="eastAsia" w:ascii="仿宋_GB2312" w:eastAsia="仿宋_GB2312" w:cs="宋体" w:hAnsiTheme="minorEastAsia"/>
          <w:color w:val="000000"/>
          <w:sz w:val="32"/>
          <w:szCs w:val="32"/>
        </w:rPr>
        <w:t>年1月1日至201</w:t>
      </w:r>
      <w:r>
        <w:rPr>
          <w:rFonts w:hint="eastAsia" w:ascii="仿宋_GB2312" w:eastAsia="仿宋_GB2312" w:cs="宋体" w:hAnsiTheme="minorEastAsia"/>
          <w:color w:val="000000"/>
          <w:sz w:val="32"/>
          <w:szCs w:val="32"/>
          <w:lang w:val="en-US" w:eastAsia="zh-CN"/>
        </w:rPr>
        <w:t>7</w:t>
      </w:r>
      <w:r>
        <w:rPr>
          <w:rFonts w:hint="eastAsia" w:ascii="仿宋_GB2312" w:eastAsia="仿宋_GB2312" w:cs="宋体" w:hAnsiTheme="minorEastAsia"/>
          <w:color w:val="000000"/>
          <w:sz w:val="32"/>
          <w:szCs w:val="32"/>
        </w:rPr>
        <w:t>年12月31日。</w:t>
      </w:r>
      <w:r>
        <w:rPr>
          <w:rFonts w:hint="eastAsia" w:ascii="仿宋_GB2312" w:eastAsia="仿宋_GB2312" w:cs="宋体" w:hAnsiTheme="minorEastAsia"/>
          <w:color w:val="000000"/>
          <w:sz w:val="32"/>
          <w:szCs w:val="32"/>
          <w:lang w:eastAsia="zh-CN"/>
        </w:rPr>
        <w:t>在省政府门户网站（</w:t>
      </w:r>
      <w:r>
        <w:rPr>
          <w:rFonts w:hint="eastAsia" w:ascii="仿宋_GB2312" w:eastAsia="仿宋_GB2312" w:cs="宋体" w:hAnsiTheme="minorEastAsia"/>
          <w:color w:val="000000"/>
          <w:sz w:val="32"/>
          <w:szCs w:val="32"/>
          <w:lang w:val="en-US" w:eastAsia="zh-CN"/>
        </w:rPr>
        <w:t>http://www.shandong.gov.cn</w:t>
      </w:r>
      <w:r>
        <w:rPr>
          <w:rFonts w:hint="eastAsia" w:ascii="仿宋_GB2312" w:eastAsia="仿宋_GB2312" w:cs="宋体" w:hAnsiTheme="minorEastAsia"/>
          <w:color w:val="000000"/>
          <w:sz w:val="32"/>
          <w:szCs w:val="32"/>
          <w:lang w:eastAsia="zh-CN"/>
        </w:rPr>
        <w:t>）山东省商务厅门户网站（</w:t>
      </w:r>
      <w:r>
        <w:rPr>
          <w:rFonts w:hint="eastAsia" w:ascii="仿宋_GB2312" w:eastAsia="仿宋_GB2312" w:cs="宋体" w:hAnsiTheme="minorEastAsia"/>
          <w:color w:val="000000"/>
          <w:sz w:val="32"/>
          <w:szCs w:val="32"/>
          <w:lang w:val="en-US" w:eastAsia="zh-CN"/>
        </w:rPr>
        <w:t>http://www.sdcom.gov.cn</w:t>
      </w:r>
      <w:r>
        <w:rPr>
          <w:rFonts w:hint="eastAsia" w:ascii="仿宋_GB2312" w:eastAsia="仿宋_GB2312" w:cs="宋体" w:hAnsiTheme="minorEastAsia"/>
          <w:color w:val="000000"/>
          <w:sz w:val="32"/>
          <w:szCs w:val="32"/>
          <w:lang w:eastAsia="zh-CN"/>
        </w:rPr>
        <w:t>）可下载本报告电子版。如对本报告有疑问，可与山东省商务厅办公室联系（电话：</w:t>
      </w:r>
      <w:r>
        <w:rPr>
          <w:rFonts w:hint="eastAsia" w:ascii="仿宋_GB2312" w:eastAsia="仿宋_GB2312" w:cs="宋体" w:hAnsiTheme="minorEastAsia"/>
          <w:color w:val="000000"/>
          <w:sz w:val="32"/>
          <w:szCs w:val="32"/>
          <w:lang w:val="en-US" w:eastAsia="zh-CN"/>
        </w:rPr>
        <w:t>0531-89013333，传真：0531-89013777，电子邮箱：zxly@sdcom.gov.cn</w:t>
      </w:r>
      <w:r>
        <w:rPr>
          <w:rFonts w:hint="eastAsia" w:ascii="仿宋_GB2312" w:eastAsia="仿宋_GB2312" w:cs="宋体" w:hAnsiTheme="minorEastAsia"/>
          <w:color w:val="00000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一、政府信息公开情况概述</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640" w:firstLineChars="200"/>
        <w:jc w:val="both"/>
        <w:textAlignment w:val="auto"/>
        <w:outlineLvl w:val="9"/>
        <w:rPr>
          <w:rFonts w:hint="eastAsia"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201</w:t>
      </w:r>
      <w:r>
        <w:rPr>
          <w:rFonts w:hint="eastAsia" w:ascii="仿宋_GB2312" w:eastAsia="仿宋_GB2312" w:cs="宋体" w:hAnsiTheme="minorEastAsia"/>
          <w:color w:val="000000"/>
          <w:sz w:val="32"/>
          <w:szCs w:val="32"/>
          <w:lang w:val="en-US" w:eastAsia="zh-CN"/>
        </w:rPr>
        <w:t>7</w:t>
      </w:r>
      <w:r>
        <w:rPr>
          <w:rFonts w:hint="eastAsia" w:ascii="仿宋_GB2312" w:eastAsia="仿宋_GB2312" w:cs="宋体" w:hAnsiTheme="minorEastAsia"/>
          <w:color w:val="000000"/>
          <w:sz w:val="32"/>
          <w:szCs w:val="32"/>
        </w:rPr>
        <w:t>年，我厅政务公开政务服务工作，坚持以</w:t>
      </w:r>
      <w:r>
        <w:rPr>
          <w:rFonts w:hint="eastAsia" w:ascii="仿宋_GB2312" w:eastAsia="仿宋_GB2312" w:cs="宋体" w:hAnsiTheme="minorEastAsia"/>
          <w:color w:val="000000"/>
          <w:sz w:val="32"/>
          <w:szCs w:val="32"/>
          <w:lang w:eastAsia="zh-CN"/>
        </w:rPr>
        <w:t>习近平新时代中国特色社会主义思想和</w:t>
      </w:r>
      <w:r>
        <w:rPr>
          <w:rFonts w:hint="eastAsia" w:ascii="仿宋_GB2312" w:eastAsia="仿宋_GB2312" w:cs="宋体" w:hAnsiTheme="minorEastAsia"/>
          <w:color w:val="000000"/>
          <w:sz w:val="32"/>
          <w:szCs w:val="32"/>
        </w:rPr>
        <w:t>党的十</w:t>
      </w:r>
      <w:r>
        <w:rPr>
          <w:rFonts w:hint="eastAsia" w:ascii="仿宋_GB2312" w:eastAsia="仿宋_GB2312" w:cs="宋体" w:hAnsiTheme="minorEastAsia"/>
          <w:color w:val="000000"/>
          <w:sz w:val="32"/>
          <w:szCs w:val="32"/>
          <w:lang w:eastAsia="zh-CN"/>
        </w:rPr>
        <w:t>九</w:t>
      </w:r>
      <w:r>
        <w:rPr>
          <w:rFonts w:hint="eastAsia" w:ascii="仿宋_GB2312" w:eastAsia="仿宋_GB2312" w:cs="宋体" w:hAnsiTheme="minorEastAsia"/>
          <w:color w:val="000000"/>
          <w:sz w:val="32"/>
          <w:szCs w:val="32"/>
        </w:rPr>
        <w:t>大精神为指导，围绕省委、省政府中心工作，突出全省商务和开放型经济工作重点，加强信息发布、政策解读和热点回应工作，强化制度机制和门户网站建设，不断增强政府信息公开实效，有效促进法治政府、创新政府、廉洁政府和服务型政府建设。</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right="0" w:rightChars="0" w:firstLine="643" w:firstLineChars="200"/>
        <w:jc w:val="both"/>
        <w:textAlignment w:val="auto"/>
        <w:outlineLvl w:val="9"/>
        <w:rPr>
          <w:rFonts w:hint="eastAsia" w:ascii="仿宋_GB2312" w:eastAsia="仿宋_GB2312" w:cs="宋体" w:hAnsiTheme="minorEastAsia"/>
          <w:color w:val="000000"/>
          <w:sz w:val="32"/>
          <w:szCs w:val="32"/>
        </w:rPr>
      </w:pPr>
      <w:r>
        <w:rPr>
          <w:rFonts w:hint="eastAsia" w:ascii="楷体_GB2312" w:hAnsi="楷体_GB2312" w:eastAsia="楷体_GB2312" w:cs="楷体_GB2312"/>
          <w:b/>
          <w:color w:val="000000"/>
          <w:sz w:val="32"/>
          <w:szCs w:val="32"/>
          <w:lang w:eastAsia="zh-CN"/>
        </w:rPr>
        <w:t>（一）</w:t>
      </w:r>
      <w:r>
        <w:rPr>
          <w:rFonts w:hint="eastAsia" w:ascii="楷体_GB2312" w:hAnsi="楷体_GB2312" w:eastAsia="楷体_GB2312" w:cs="楷体_GB2312"/>
          <w:b/>
          <w:color w:val="000000"/>
          <w:sz w:val="32"/>
          <w:szCs w:val="32"/>
        </w:rPr>
        <w:t>加强政府信息公开工作机制建设。</w:t>
      </w:r>
      <w:r>
        <w:rPr>
          <w:rFonts w:hint="eastAsia" w:ascii="仿宋_GB2312" w:eastAsia="仿宋_GB2312" w:cs="宋体" w:hAnsiTheme="minorEastAsia"/>
          <w:color w:val="000000"/>
          <w:sz w:val="32"/>
          <w:szCs w:val="32"/>
        </w:rPr>
        <w:t>进一步完善商务领域政务信息公开工作责任，落实信息公开工作制度机制，</w:t>
      </w:r>
      <w:r>
        <w:rPr>
          <w:rFonts w:hint="eastAsia" w:ascii="仿宋_GB2312" w:eastAsia="仿宋_GB2312" w:cs="宋体" w:hAnsiTheme="minorEastAsia"/>
          <w:color w:val="000000"/>
          <w:sz w:val="32"/>
          <w:szCs w:val="32"/>
          <w:lang w:eastAsia="zh-CN"/>
        </w:rPr>
        <w:t>制定了</w:t>
      </w:r>
      <w:r>
        <w:rPr>
          <w:rFonts w:hint="eastAsia" w:ascii="仿宋_GB2312" w:eastAsia="仿宋_GB2312"/>
          <w:sz w:val="32"/>
          <w:szCs w:val="32"/>
          <w:lang w:val="en-US" w:eastAsia="zh-CN"/>
        </w:rPr>
        <w:t>《</w:t>
      </w:r>
      <w:r>
        <w:rPr>
          <w:rFonts w:hint="eastAsia" w:ascii="仿宋_GB2312" w:hAnsi="仿宋_GB2312" w:eastAsia="仿宋_GB2312"/>
          <w:sz w:val="32"/>
          <w:szCs w:val="32"/>
          <w:lang w:val="zh-CN"/>
        </w:rPr>
        <w:t>山东省商务厅政务公开实施办法（试行）</w:t>
      </w:r>
      <w:r>
        <w:rPr>
          <w:rFonts w:hint="eastAsia" w:ascii="仿宋_GB2312" w:eastAsia="仿宋_GB2312"/>
          <w:sz w:val="32"/>
          <w:szCs w:val="32"/>
          <w:lang w:val="en-US" w:eastAsia="zh-CN"/>
        </w:rPr>
        <w:t>》</w:t>
      </w:r>
      <w:r>
        <w:rPr>
          <w:rFonts w:hint="eastAsia" w:ascii="仿宋_GB2312" w:eastAsia="仿宋_GB2312" w:cs="宋体" w:hAnsiTheme="minorEastAsia"/>
          <w:color w:val="000000"/>
          <w:sz w:val="32"/>
          <w:szCs w:val="32"/>
          <w:lang w:eastAsia="zh-CN"/>
        </w:rPr>
        <w:t>，</w:t>
      </w:r>
      <w:r>
        <w:rPr>
          <w:rFonts w:hint="eastAsia" w:ascii="仿宋_GB2312" w:eastAsia="仿宋_GB2312" w:cs="宋体" w:hAnsiTheme="minorEastAsia"/>
          <w:color w:val="000000"/>
          <w:sz w:val="32"/>
          <w:szCs w:val="32"/>
        </w:rPr>
        <w:t>完善科学高效的政府信息公开工作机制，</w:t>
      </w:r>
      <w:r>
        <w:rPr>
          <w:rFonts w:hint="eastAsia" w:ascii="仿宋_GB2312" w:eastAsia="仿宋_GB2312" w:cs="宋体" w:hAnsiTheme="minorEastAsia"/>
          <w:color w:val="000000"/>
          <w:sz w:val="32"/>
          <w:szCs w:val="32"/>
          <w:lang w:eastAsia="zh-CN"/>
        </w:rPr>
        <w:t>特别是对</w:t>
      </w:r>
      <w:r>
        <w:rPr>
          <w:rFonts w:hint="eastAsia" w:ascii="仿宋_GB2312" w:eastAsia="仿宋_GB2312" w:cs="宋体" w:hAnsiTheme="minorEastAsia"/>
          <w:color w:val="000000"/>
          <w:sz w:val="32"/>
          <w:szCs w:val="32"/>
        </w:rPr>
        <w:t>主动公开机制、</w:t>
      </w:r>
      <w:r>
        <w:rPr>
          <w:rFonts w:hint="eastAsia" w:ascii="仿宋_GB2312" w:eastAsia="仿宋_GB2312" w:cs="宋体" w:hAnsiTheme="minorEastAsia"/>
          <w:color w:val="000000"/>
          <w:sz w:val="32"/>
          <w:szCs w:val="32"/>
          <w:lang w:eastAsia="zh-CN"/>
        </w:rPr>
        <w:t>依申请公开办理、政策解读会议、政务决策公开</w:t>
      </w:r>
      <w:r>
        <w:rPr>
          <w:rFonts w:hint="eastAsia" w:ascii="仿宋_GB2312" w:eastAsia="仿宋_GB2312" w:cs="宋体" w:hAnsiTheme="minorEastAsia"/>
          <w:color w:val="000000"/>
          <w:sz w:val="32"/>
          <w:szCs w:val="32"/>
        </w:rPr>
        <w:t>进一步细化完善</w:t>
      </w:r>
      <w:r>
        <w:rPr>
          <w:rFonts w:hint="eastAsia" w:ascii="仿宋_GB2312" w:eastAsia="仿宋_GB2312" w:cs="宋体" w:hAnsiTheme="minorEastAsia"/>
          <w:color w:val="000000"/>
          <w:sz w:val="32"/>
          <w:szCs w:val="32"/>
          <w:lang w:eastAsia="zh-CN"/>
        </w:rPr>
        <w:t>，提升信息公开工作规范化程度，提高信息公开工作的透明度和公信力。</w:t>
      </w:r>
      <w:r>
        <w:rPr>
          <w:rFonts w:hint="eastAsia" w:ascii="仿宋_GB2312" w:eastAsia="仿宋_GB2312" w:cs="宋体" w:hAnsiTheme="minorEastAsia"/>
          <w:color w:val="000000"/>
          <w:sz w:val="32"/>
          <w:szCs w:val="32"/>
        </w:rPr>
        <w:t>加强对政务公开有关法律法规和政策的学习宣传和业务培训，</w:t>
      </w:r>
      <w:r>
        <w:rPr>
          <w:rFonts w:hint="eastAsia" w:ascii="仿宋_GB2312" w:eastAsia="仿宋_GB2312" w:cs="宋体" w:hAnsiTheme="minorEastAsia"/>
          <w:color w:val="000000"/>
          <w:sz w:val="32"/>
          <w:szCs w:val="32"/>
          <w:lang w:eastAsia="zh-CN"/>
        </w:rPr>
        <w:t>面向厅</w:t>
      </w:r>
      <w:r>
        <w:rPr>
          <w:rFonts w:hint="eastAsia" w:ascii="仿宋_GB2312" w:eastAsia="仿宋_GB2312" w:cs="宋体" w:hAnsiTheme="minorEastAsia"/>
          <w:color w:val="000000"/>
          <w:sz w:val="32"/>
          <w:szCs w:val="32"/>
        </w:rPr>
        <w:t>机关全体工作人员</w:t>
      </w:r>
      <w:r>
        <w:rPr>
          <w:rFonts w:hint="eastAsia" w:ascii="仿宋_GB2312" w:eastAsia="仿宋_GB2312" w:cs="宋体" w:hAnsiTheme="minorEastAsia"/>
          <w:color w:val="000000"/>
          <w:sz w:val="32"/>
          <w:szCs w:val="32"/>
          <w:lang w:eastAsia="zh-CN"/>
        </w:rPr>
        <w:t>开展了</w:t>
      </w:r>
      <w:r>
        <w:rPr>
          <w:rFonts w:hint="eastAsia" w:ascii="仿宋_GB2312" w:eastAsia="仿宋_GB2312" w:cs="宋体" w:hAnsiTheme="minorEastAsia"/>
          <w:color w:val="000000"/>
          <w:sz w:val="32"/>
          <w:szCs w:val="32"/>
        </w:rPr>
        <w:t>公开培训。把政务公开工作纳入日常工作管理，对</w:t>
      </w:r>
      <w:r>
        <w:rPr>
          <w:rFonts w:hint="eastAsia" w:ascii="仿宋_GB2312" w:eastAsia="仿宋_GB2312" w:cs="宋体" w:hAnsiTheme="minorEastAsia"/>
          <w:color w:val="000000"/>
          <w:sz w:val="32"/>
          <w:szCs w:val="32"/>
          <w:lang w:eastAsia="zh-CN"/>
        </w:rPr>
        <w:t>商务各领域</w:t>
      </w:r>
      <w:r>
        <w:rPr>
          <w:rFonts w:hint="eastAsia" w:ascii="仿宋_GB2312" w:eastAsia="仿宋_GB2312" w:cs="宋体" w:hAnsiTheme="minorEastAsia"/>
          <w:color w:val="000000"/>
          <w:sz w:val="32"/>
          <w:szCs w:val="32"/>
        </w:rPr>
        <w:t>与群众利益密切相关的政策</w:t>
      </w:r>
      <w:r>
        <w:rPr>
          <w:rFonts w:hint="eastAsia" w:ascii="仿宋_GB2312" w:eastAsia="仿宋_GB2312" w:cs="宋体" w:hAnsiTheme="minorEastAsia"/>
          <w:color w:val="000000"/>
          <w:sz w:val="32"/>
          <w:szCs w:val="32"/>
          <w:lang w:eastAsia="zh-CN"/>
        </w:rPr>
        <w:t>文件</w:t>
      </w:r>
      <w:r>
        <w:rPr>
          <w:rFonts w:hint="eastAsia" w:ascii="仿宋_GB2312" w:eastAsia="仿宋_GB2312" w:cs="宋体" w:hAnsiTheme="minorEastAsia"/>
          <w:color w:val="000000"/>
          <w:sz w:val="32"/>
          <w:szCs w:val="32"/>
        </w:rPr>
        <w:t>、</w:t>
      </w:r>
      <w:r>
        <w:rPr>
          <w:rFonts w:hint="eastAsia" w:ascii="仿宋_GB2312" w:eastAsia="仿宋_GB2312" w:cs="宋体" w:hAnsiTheme="minorEastAsia"/>
          <w:color w:val="000000"/>
          <w:sz w:val="32"/>
          <w:szCs w:val="32"/>
          <w:lang w:eastAsia="zh-CN"/>
        </w:rPr>
        <w:t>政策</w:t>
      </w:r>
      <w:r>
        <w:rPr>
          <w:rFonts w:ascii="仿宋_GB2312" w:eastAsia="仿宋_GB2312" w:cs="宋体" w:hAnsiTheme="minorEastAsia"/>
          <w:color w:val="000000"/>
          <w:sz w:val="32"/>
          <w:szCs w:val="32"/>
        </w:rPr>
        <w:t>解读</w:t>
      </w:r>
      <w:r>
        <w:rPr>
          <w:rFonts w:hint="eastAsia" w:ascii="仿宋_GB2312" w:eastAsia="仿宋_GB2312" w:cs="宋体" w:hAnsiTheme="minorEastAsia"/>
          <w:color w:val="000000"/>
          <w:sz w:val="32"/>
          <w:szCs w:val="32"/>
          <w:lang w:eastAsia="zh-CN"/>
        </w:rPr>
        <w:t>、统计数据、行政事项结果</w:t>
      </w:r>
      <w:r>
        <w:rPr>
          <w:rFonts w:hint="eastAsia" w:ascii="仿宋_GB2312" w:eastAsia="仿宋_GB2312" w:cs="宋体" w:hAnsiTheme="minorEastAsia"/>
          <w:color w:val="000000"/>
          <w:sz w:val="32"/>
          <w:szCs w:val="32"/>
        </w:rPr>
        <w:t>及时公开。</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643" w:firstLineChars="200"/>
        <w:jc w:val="both"/>
        <w:textAlignment w:val="auto"/>
        <w:outlineLvl w:val="9"/>
        <w:rPr>
          <w:rFonts w:ascii="仿宋_GB2312" w:eastAsia="仿宋_GB2312" w:cs="宋体" w:hAnsiTheme="minorEastAsia"/>
          <w:color w:val="000000"/>
          <w:sz w:val="32"/>
          <w:szCs w:val="32"/>
        </w:rPr>
      </w:pPr>
      <w:r>
        <w:rPr>
          <w:rFonts w:hint="eastAsia" w:ascii="楷体_GB2312" w:hAnsi="楷体_GB2312" w:eastAsia="楷体_GB2312" w:cs="楷体_GB2312"/>
          <w:b/>
          <w:color w:val="000000"/>
          <w:sz w:val="32"/>
          <w:szCs w:val="32"/>
        </w:rPr>
        <w:t>（二）完善信息公开载体建设。</w:t>
      </w:r>
      <w:r>
        <w:rPr>
          <w:rFonts w:hint="eastAsia" w:ascii="仿宋_GB2312" w:eastAsia="仿宋_GB2312" w:cs="宋体" w:hAnsiTheme="minorEastAsia"/>
          <w:color w:val="000000"/>
          <w:sz w:val="32"/>
          <w:szCs w:val="32"/>
          <w:lang w:eastAsia="zh-CN"/>
        </w:rPr>
        <w:t>对厅门户网站进行</w:t>
      </w:r>
      <w:r>
        <w:rPr>
          <w:rFonts w:hint="eastAsia" w:ascii="仿宋_GB2312" w:hAnsi="仿宋_GB2312" w:eastAsia="仿宋_GB2312" w:cs="仿宋_GB2312"/>
          <w:b w:val="0"/>
          <w:bCs/>
          <w:sz w:val="32"/>
          <w:szCs w:val="32"/>
          <w:lang w:val="en-US" w:eastAsia="zh-CN"/>
        </w:rPr>
        <w:t>升级改造，优化网站架构，实现“千人千网功能”，</w:t>
      </w:r>
      <w:r>
        <w:rPr>
          <w:rFonts w:hint="eastAsia" w:ascii="仿宋_GB2312" w:eastAsia="仿宋_GB2312" w:cs="宋体" w:hAnsiTheme="minorEastAsia"/>
          <w:color w:val="000000"/>
          <w:sz w:val="32"/>
          <w:szCs w:val="32"/>
        </w:rPr>
        <w:t>进一步完善门户网站</w:t>
      </w:r>
      <w:r>
        <w:rPr>
          <w:rFonts w:hint="eastAsia" w:ascii="仿宋_GB2312" w:eastAsia="仿宋_GB2312" w:cs="宋体" w:hAnsiTheme="minorEastAsia"/>
          <w:color w:val="000000"/>
          <w:sz w:val="32"/>
          <w:szCs w:val="32"/>
          <w:lang w:eastAsia="zh-CN"/>
        </w:rPr>
        <w:t>政务公开主渠道功能</w:t>
      </w:r>
      <w:r>
        <w:rPr>
          <w:rFonts w:hint="eastAsia" w:ascii="仿宋_GB2312" w:eastAsia="仿宋_GB2312" w:cs="宋体" w:hAnsiTheme="minorEastAsia"/>
          <w:color w:val="000000"/>
          <w:sz w:val="32"/>
          <w:szCs w:val="32"/>
        </w:rPr>
        <w:t>，</w:t>
      </w:r>
      <w:r>
        <w:rPr>
          <w:rFonts w:hint="eastAsia" w:ascii="仿宋_GB2312" w:eastAsia="仿宋_GB2312" w:cs="宋体" w:hAnsiTheme="minorEastAsia"/>
          <w:color w:val="000000"/>
          <w:sz w:val="32"/>
          <w:szCs w:val="32"/>
          <w:lang w:eastAsia="zh-CN"/>
        </w:rPr>
        <w:t>对政务公开相关栏目进行整合，</w:t>
      </w:r>
      <w:r>
        <w:rPr>
          <w:rFonts w:hint="eastAsia" w:ascii="仿宋_GB2312" w:eastAsia="仿宋_GB2312" w:cs="宋体" w:hAnsiTheme="minorEastAsia"/>
          <w:color w:val="000000"/>
          <w:sz w:val="32"/>
          <w:szCs w:val="32"/>
        </w:rPr>
        <w:t>新增</w:t>
      </w:r>
      <w:r>
        <w:rPr>
          <w:rFonts w:hint="eastAsia" w:ascii="仿宋_GB2312" w:eastAsia="仿宋_GB2312" w:cs="宋体" w:hAnsiTheme="minorEastAsia"/>
          <w:color w:val="000000"/>
          <w:sz w:val="32"/>
          <w:szCs w:val="32"/>
          <w:lang w:eastAsia="zh-CN"/>
        </w:rPr>
        <w:t>会议公开、工作督查</w:t>
      </w:r>
      <w:r>
        <w:rPr>
          <w:rFonts w:hint="eastAsia" w:ascii="仿宋_GB2312" w:eastAsia="仿宋_GB2312" w:cs="宋体" w:hAnsiTheme="minorEastAsia"/>
          <w:color w:val="000000"/>
          <w:sz w:val="32"/>
          <w:szCs w:val="32"/>
        </w:rPr>
        <w:t>等栏目，</w:t>
      </w:r>
      <w:r>
        <w:rPr>
          <w:rFonts w:hint="eastAsia" w:ascii="仿宋_GB2312" w:eastAsia="仿宋_GB2312" w:cs="宋体" w:hAnsiTheme="minorEastAsia"/>
          <w:color w:val="000000"/>
          <w:sz w:val="32"/>
          <w:szCs w:val="32"/>
          <w:lang w:eastAsia="zh-CN"/>
        </w:rPr>
        <w:t>优化页面设计，突出公众关心的资源查询、政策文件、依申请公开、咨询留言等栏目，</w:t>
      </w:r>
      <w:r>
        <w:rPr>
          <w:rFonts w:hint="eastAsia" w:ascii="仿宋_GB2312" w:eastAsia="仿宋_GB2312" w:cs="宋体" w:hAnsiTheme="minorEastAsia"/>
          <w:color w:val="000000"/>
          <w:sz w:val="32"/>
          <w:szCs w:val="32"/>
        </w:rPr>
        <w:t>进一步强化信息查询和搜索功能，完善网上政务大厅建设，稳步扩大网上审批事项范围。及时更新完善各类信息公开平台内容，规范网站栏目的内容发布及发布时间，增强信息公开的普及性、时效性、便民性和互动性。丰富政务信息公开形式，围绕全省商务工作要点和社会关注热点，开展新闻发布、在线访谈，邀请处室负责人和</w:t>
      </w:r>
      <w:r>
        <w:rPr>
          <w:rFonts w:ascii="仿宋_GB2312" w:eastAsia="仿宋_GB2312" w:cs="宋体" w:hAnsiTheme="minorEastAsia"/>
          <w:color w:val="000000"/>
          <w:sz w:val="32"/>
          <w:szCs w:val="32"/>
        </w:rPr>
        <w:t>各市商务局局长</w:t>
      </w:r>
      <w:r>
        <w:rPr>
          <w:rFonts w:hint="eastAsia" w:ascii="仿宋_GB2312" w:eastAsia="仿宋_GB2312" w:cs="宋体" w:hAnsiTheme="minorEastAsia"/>
          <w:color w:val="000000"/>
          <w:sz w:val="32"/>
          <w:szCs w:val="32"/>
        </w:rPr>
        <w:t>介绍有关重点工作的落实措施及进展情况，回答网民提问，促进重大决策部署的推进落实。积极</w:t>
      </w:r>
      <w:r>
        <w:rPr>
          <w:rFonts w:ascii="仿宋_GB2312" w:eastAsia="仿宋_GB2312" w:cs="宋体" w:hAnsiTheme="minorEastAsia"/>
          <w:color w:val="000000"/>
          <w:sz w:val="32"/>
          <w:szCs w:val="32"/>
        </w:rPr>
        <w:t>利用新媒体</w:t>
      </w:r>
      <w:r>
        <w:rPr>
          <w:rFonts w:hint="eastAsia" w:ascii="仿宋_GB2312" w:eastAsia="仿宋_GB2312" w:cs="宋体" w:hAnsiTheme="minorEastAsia"/>
          <w:color w:val="000000"/>
          <w:sz w:val="32"/>
          <w:szCs w:val="32"/>
        </w:rPr>
        <w:t>拓展信息</w:t>
      </w:r>
      <w:r>
        <w:rPr>
          <w:rFonts w:ascii="仿宋_GB2312" w:eastAsia="仿宋_GB2312" w:cs="宋体" w:hAnsiTheme="minorEastAsia"/>
          <w:color w:val="000000"/>
          <w:sz w:val="32"/>
          <w:szCs w:val="32"/>
        </w:rPr>
        <w:t>公开渠道，完善</w:t>
      </w:r>
      <w:r>
        <w:rPr>
          <w:rFonts w:hint="eastAsia" w:ascii="仿宋_GB2312" w:eastAsia="仿宋_GB2312" w:cs="宋体" w:hAnsiTheme="minorEastAsia"/>
          <w:color w:val="000000"/>
          <w:sz w:val="32"/>
          <w:szCs w:val="32"/>
        </w:rPr>
        <w:t>政务</w:t>
      </w:r>
      <w:r>
        <w:rPr>
          <w:rFonts w:ascii="仿宋_GB2312" w:eastAsia="仿宋_GB2312" w:cs="宋体" w:hAnsiTheme="minorEastAsia"/>
          <w:color w:val="000000"/>
          <w:sz w:val="32"/>
          <w:szCs w:val="32"/>
        </w:rPr>
        <w:t>微博信息</w:t>
      </w:r>
      <w:r>
        <w:rPr>
          <w:rFonts w:hint="eastAsia" w:ascii="仿宋_GB2312" w:eastAsia="仿宋_GB2312" w:cs="宋体" w:hAnsiTheme="minorEastAsia"/>
          <w:color w:val="000000"/>
          <w:sz w:val="32"/>
          <w:szCs w:val="32"/>
          <w:lang w:eastAsia="zh-CN"/>
        </w:rPr>
        <w:t>、</w:t>
      </w:r>
      <w:r>
        <w:rPr>
          <w:rFonts w:ascii="仿宋_GB2312" w:eastAsia="仿宋_GB2312" w:cs="宋体" w:hAnsiTheme="minorEastAsia"/>
          <w:color w:val="000000"/>
          <w:sz w:val="32"/>
          <w:szCs w:val="32"/>
        </w:rPr>
        <w:t>政务</w:t>
      </w:r>
      <w:r>
        <w:rPr>
          <w:rFonts w:hint="eastAsia" w:ascii="仿宋_GB2312" w:eastAsia="仿宋_GB2312" w:cs="宋体" w:hAnsiTheme="minorEastAsia"/>
          <w:color w:val="000000"/>
          <w:sz w:val="32"/>
          <w:szCs w:val="32"/>
        </w:rPr>
        <w:t>微信</w:t>
      </w:r>
      <w:r>
        <w:rPr>
          <w:rFonts w:ascii="仿宋_GB2312" w:eastAsia="仿宋_GB2312" w:cs="宋体" w:hAnsiTheme="minorEastAsia"/>
          <w:color w:val="000000"/>
          <w:sz w:val="32"/>
          <w:szCs w:val="32"/>
        </w:rPr>
        <w:t>公开机制，取得显著成效。</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440" w:firstLineChars="200"/>
        <w:textAlignment w:val="auto"/>
        <w:rPr>
          <w:rFonts w:hint="eastAsia" w:ascii="楷体_GB2312" w:hAnsi="楷体_GB2312" w:eastAsia="楷体_GB2312" w:cs="楷体_GB2312"/>
          <w:b/>
          <w:color w:val="000000"/>
          <w:sz w:val="32"/>
          <w:szCs w:val="32"/>
          <w:lang w:val="en-US" w:eastAsia="zh-CN"/>
        </w:rPr>
      </w:pPr>
      <w:r>
        <w:drawing>
          <wp:anchor distT="0" distB="0" distL="114300" distR="114300" simplePos="0" relativeHeight="251659264" behindDoc="0" locked="0" layoutInCell="1" allowOverlap="1">
            <wp:simplePos x="0" y="0"/>
            <wp:positionH relativeFrom="column">
              <wp:posOffset>506095</wp:posOffset>
            </wp:positionH>
            <wp:positionV relativeFrom="paragraph">
              <wp:posOffset>113665</wp:posOffset>
            </wp:positionV>
            <wp:extent cx="4425315" cy="2661285"/>
            <wp:effectExtent l="0" t="0" r="13335" b="5715"/>
            <wp:wrapTopAndBottom/>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4"/>
                    <a:stretch>
                      <a:fillRect/>
                    </a:stretch>
                  </pic:blipFill>
                  <pic:spPr>
                    <a:xfrm>
                      <a:off x="0" y="0"/>
                      <a:ext cx="4425315" cy="2661285"/>
                    </a:xfrm>
                    <a:prstGeom prst="rect">
                      <a:avLst/>
                    </a:prstGeom>
                    <a:noFill/>
                    <a:ln w="9525">
                      <a:noFill/>
                    </a:ln>
                  </pic:spPr>
                </pic:pic>
              </a:graphicData>
            </a:graphic>
          </wp:anchor>
        </w:drawing>
      </w:r>
      <w:r>
        <w:rPr>
          <w:rFonts w:hint="eastAsia"/>
          <w:lang w:val="en-US" w:eastAsia="zh-CN"/>
        </w:rPr>
        <w:t xml:space="preserve"> </w:t>
      </w:r>
      <w:r>
        <w:rPr>
          <w:rFonts w:hint="eastAsia" w:ascii="楷体_GB2312" w:hAnsi="楷体_GB2312" w:eastAsia="楷体_GB2312" w:cs="楷体_GB2312"/>
          <w:b/>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643" w:firstLineChars="200"/>
        <w:jc w:val="both"/>
        <w:textAlignment w:val="auto"/>
        <w:rPr>
          <w:rFonts w:hint="eastAsia" w:ascii="仿宋_GB2312" w:eastAsia="仿宋_GB2312" w:cs="宋体" w:hAnsiTheme="minorEastAsia"/>
          <w:color w:val="000000"/>
          <w:sz w:val="32"/>
          <w:szCs w:val="32"/>
        </w:rPr>
      </w:pPr>
      <w:r>
        <w:rPr>
          <w:rFonts w:hint="eastAsia" w:ascii="楷体_GB2312" w:hAnsi="楷体_GB2312" w:eastAsia="楷体_GB2312" w:cs="楷体_GB2312"/>
          <w:b/>
          <w:color w:val="000000"/>
          <w:sz w:val="32"/>
          <w:szCs w:val="32"/>
          <w:lang w:val="en-US" w:eastAsia="zh-CN"/>
        </w:rPr>
        <w:t>（三）优化办事</w:t>
      </w:r>
      <w:r>
        <w:rPr>
          <w:rFonts w:hint="eastAsia" w:ascii="楷体_GB2312" w:hAnsi="楷体_GB2312" w:eastAsia="楷体_GB2312" w:cs="楷体_GB2312"/>
          <w:b/>
          <w:color w:val="000000"/>
          <w:sz w:val="32"/>
          <w:szCs w:val="32"/>
        </w:rPr>
        <w:t>大厅建设。</w:t>
      </w:r>
      <w:r>
        <w:rPr>
          <w:rFonts w:hint="eastAsia" w:ascii="仿宋_GB2312" w:eastAsia="仿宋_GB2312"/>
          <w:sz w:val="32"/>
          <w:szCs w:val="32"/>
          <w:lang w:val="en-US" w:eastAsia="zh-CN"/>
        </w:rPr>
        <w:t>开展网上政务大厅升级改造，推进线上线下一体化，建立“前台统一受理、后台分类审批、统一窗口出件”服务模式。</w:t>
      </w:r>
      <w:r>
        <w:rPr>
          <w:rFonts w:hint="eastAsia" w:ascii="仿宋_GB2312" w:eastAsia="仿宋_GB2312" w:cs="宋体" w:hAnsiTheme="minorEastAsia"/>
          <w:color w:val="000000"/>
          <w:sz w:val="32"/>
          <w:szCs w:val="32"/>
        </w:rPr>
        <w:t>把</w:t>
      </w:r>
      <w:r>
        <w:rPr>
          <w:rFonts w:hint="eastAsia" w:ascii="仿宋_GB2312" w:eastAsia="仿宋_GB2312" w:cs="宋体" w:hAnsiTheme="minorEastAsia"/>
          <w:color w:val="000000"/>
          <w:sz w:val="32"/>
          <w:szCs w:val="32"/>
          <w:lang w:eastAsia="zh-CN"/>
        </w:rPr>
        <w:t>办事</w:t>
      </w:r>
      <w:r>
        <w:rPr>
          <w:rFonts w:hint="eastAsia" w:ascii="仿宋_GB2312" w:eastAsia="仿宋_GB2312" w:cs="宋体" w:hAnsiTheme="minorEastAsia"/>
          <w:color w:val="000000"/>
          <w:sz w:val="32"/>
          <w:szCs w:val="32"/>
        </w:rPr>
        <w:t>大厅作为我厅优化政务环境的</w:t>
      </w:r>
      <w:r>
        <w:rPr>
          <w:rFonts w:hint="eastAsia" w:ascii="仿宋_GB2312" w:eastAsia="仿宋_GB2312" w:cs="宋体" w:hAnsiTheme="minorEastAsia"/>
          <w:color w:val="000000"/>
          <w:sz w:val="32"/>
          <w:szCs w:val="32"/>
          <w:lang w:eastAsia="zh-CN"/>
        </w:rPr>
        <w:t>重要突破口</w:t>
      </w:r>
      <w:r>
        <w:rPr>
          <w:rFonts w:hint="eastAsia" w:ascii="仿宋_GB2312" w:eastAsia="仿宋_GB2312" w:cs="宋体" w:hAnsiTheme="minorEastAsia"/>
          <w:color w:val="000000"/>
          <w:sz w:val="32"/>
          <w:szCs w:val="32"/>
        </w:rPr>
        <w:t>，</w:t>
      </w:r>
      <w:r>
        <w:rPr>
          <w:rFonts w:hint="eastAsia" w:ascii="仿宋_GB2312" w:eastAsia="仿宋_GB2312" w:cs="宋体" w:hAnsiTheme="minorEastAsia"/>
          <w:color w:val="000000"/>
          <w:sz w:val="32"/>
          <w:szCs w:val="32"/>
          <w:lang w:eastAsia="zh-CN"/>
        </w:rPr>
        <w:t>简化程序，提高效率，减轻基层企业负担，</w:t>
      </w:r>
      <w:r>
        <w:rPr>
          <w:rFonts w:hint="eastAsia" w:ascii="仿宋_GB2312" w:eastAsia="仿宋_GB2312" w:cs="宋体" w:hAnsiTheme="minorEastAsia"/>
          <w:color w:val="000000"/>
          <w:sz w:val="32"/>
          <w:szCs w:val="32"/>
        </w:rPr>
        <w:t>致力于打造“公开、公平、便民、高效”的办事环境，为</w:t>
      </w:r>
      <w:r>
        <w:rPr>
          <w:rFonts w:hint="eastAsia" w:ascii="仿宋_GB2312" w:eastAsia="仿宋_GB2312" w:cs="宋体" w:hAnsiTheme="minorEastAsia"/>
          <w:color w:val="000000"/>
          <w:sz w:val="32"/>
          <w:szCs w:val="32"/>
          <w:lang w:eastAsia="zh-CN"/>
        </w:rPr>
        <w:t>基层</w:t>
      </w:r>
      <w:r>
        <w:rPr>
          <w:rFonts w:hint="eastAsia" w:ascii="仿宋_GB2312" w:eastAsia="仿宋_GB2312" w:cs="宋体" w:hAnsiTheme="minorEastAsia"/>
          <w:color w:val="000000"/>
          <w:sz w:val="32"/>
          <w:szCs w:val="32"/>
        </w:rPr>
        <w:t>企业提供更加方便、快捷、优质的服务，得到群众的一致好评。201</w:t>
      </w:r>
      <w:r>
        <w:rPr>
          <w:rFonts w:hint="eastAsia" w:ascii="仿宋_GB2312" w:eastAsia="仿宋_GB2312" w:cs="宋体" w:hAnsiTheme="minorEastAsia"/>
          <w:color w:val="000000"/>
          <w:sz w:val="32"/>
          <w:szCs w:val="32"/>
          <w:lang w:val="en-US" w:eastAsia="zh-CN"/>
        </w:rPr>
        <w:t>7</w:t>
      </w:r>
      <w:r>
        <w:rPr>
          <w:rFonts w:hint="eastAsia" w:ascii="仿宋_GB2312" w:eastAsia="仿宋_GB2312" w:cs="宋体" w:hAnsiTheme="minorEastAsia"/>
          <w:color w:val="000000"/>
          <w:sz w:val="32"/>
          <w:szCs w:val="32"/>
        </w:rPr>
        <w:t>年，</w:t>
      </w:r>
      <w:r>
        <w:rPr>
          <w:rFonts w:hint="eastAsia" w:ascii="仿宋_GB2312" w:eastAsia="仿宋_GB2312" w:cs="宋体" w:hAnsiTheme="minorEastAsia"/>
          <w:color w:val="000000"/>
          <w:sz w:val="32"/>
          <w:szCs w:val="32"/>
          <w:lang w:eastAsia="zh-CN"/>
        </w:rPr>
        <w:t>办事</w:t>
      </w:r>
      <w:r>
        <w:rPr>
          <w:rFonts w:hint="eastAsia" w:ascii="仿宋_GB2312" w:eastAsia="仿宋_GB2312" w:cs="宋体" w:hAnsiTheme="minorEastAsia"/>
          <w:color w:val="000000"/>
          <w:sz w:val="32"/>
          <w:szCs w:val="32"/>
        </w:rPr>
        <w:t>大厅共为企业办理各类政务</w:t>
      </w:r>
      <w:r>
        <w:rPr>
          <w:rFonts w:ascii="仿宋_GB2312" w:eastAsia="仿宋_GB2312" w:cs="宋体" w:hAnsiTheme="minorEastAsia"/>
          <w:color w:val="000000"/>
          <w:sz w:val="32"/>
          <w:szCs w:val="32"/>
        </w:rPr>
        <w:t>服务事项</w:t>
      </w:r>
      <w:r>
        <w:rPr>
          <w:rFonts w:hint="eastAsia" w:ascii="仿宋_GB2312" w:eastAsia="仿宋_GB2312" w:cs="宋体" w:hAnsiTheme="minorEastAsia"/>
          <w:color w:val="000000"/>
          <w:sz w:val="32"/>
          <w:szCs w:val="32"/>
          <w:lang w:eastAsia="zh-CN"/>
        </w:rPr>
        <w:t>近</w:t>
      </w:r>
      <w:r>
        <w:rPr>
          <w:rFonts w:hint="eastAsia" w:ascii="仿宋_GB2312" w:eastAsia="仿宋_GB2312" w:cs="宋体" w:hAnsiTheme="minorEastAsia"/>
          <w:color w:val="000000"/>
          <w:sz w:val="32"/>
          <w:szCs w:val="32"/>
          <w:lang w:val="en-US" w:eastAsia="zh-CN"/>
        </w:rPr>
        <w:t>7万</w:t>
      </w:r>
      <w:r>
        <w:rPr>
          <w:rFonts w:hint="eastAsia" w:ascii="仿宋_GB2312" w:eastAsia="仿宋_GB2312" w:cs="宋体" w:hAnsiTheme="minorEastAsia"/>
          <w:color w:val="000000"/>
          <w:sz w:val="32"/>
          <w:szCs w:val="32"/>
        </w:rPr>
        <w:t>件。</w:t>
      </w:r>
    </w:p>
    <w:p>
      <w:pPr>
        <w:adjustRightInd/>
        <w:snapToGrid/>
        <w:spacing w:after="0" w:line="360" w:lineRule="auto"/>
        <w:jc w:val="center"/>
        <w:rPr>
          <w:rFonts w:hint="eastAsia" w:ascii="仿宋_GB2312" w:eastAsia="仿宋_GB2312" w:cs="宋体" w:hAnsiTheme="minorEastAsia"/>
          <w:color w:val="000000"/>
          <w:sz w:val="32"/>
          <w:szCs w:val="32"/>
        </w:rPr>
      </w:pPr>
      <w:r>
        <w:drawing>
          <wp:inline distT="0" distB="0" distL="114300" distR="114300">
            <wp:extent cx="3710305" cy="2712720"/>
            <wp:effectExtent l="0" t="0" r="4445" b="1143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5"/>
                    <a:stretch>
                      <a:fillRect/>
                    </a:stretch>
                  </pic:blipFill>
                  <pic:spPr>
                    <a:xfrm>
                      <a:off x="0" y="0"/>
                      <a:ext cx="3710305" cy="271272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580" w:lineRule="exact"/>
        <w:ind w:left="0" w:leftChars="0" w:right="0" w:rightChars="0" w:firstLine="640" w:firstLineChars="200"/>
        <w:jc w:val="left"/>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 xml:space="preserve">二、政府信息公开情况 </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643" w:firstLineChars="200"/>
        <w:jc w:val="both"/>
        <w:textAlignment w:val="auto"/>
        <w:outlineLvl w:val="9"/>
        <w:rPr>
          <w:rFonts w:hint="eastAsia" w:ascii="仿宋_GB2312" w:eastAsia="仿宋_GB2312" w:cs="宋体" w:hAnsiTheme="minorEastAsia"/>
          <w:color w:val="000000"/>
          <w:sz w:val="32"/>
          <w:szCs w:val="32"/>
          <w:lang w:val="en-US" w:eastAsia="zh-CN"/>
        </w:rPr>
      </w:pPr>
      <w:r>
        <w:rPr>
          <w:rFonts w:hint="eastAsia" w:ascii="楷体_GB2312" w:hAnsi="楷体_GB2312" w:eastAsia="楷体_GB2312" w:cs="楷体_GB2312"/>
          <w:b/>
          <w:color w:val="000000"/>
          <w:sz w:val="32"/>
          <w:szCs w:val="32"/>
          <w:lang w:val="en-US" w:eastAsia="zh-CN"/>
        </w:rPr>
        <w:drawing>
          <wp:anchor distT="0" distB="0" distL="114300" distR="114300" simplePos="0" relativeHeight="251660288" behindDoc="0" locked="0" layoutInCell="1" allowOverlap="1">
            <wp:simplePos x="0" y="0"/>
            <wp:positionH relativeFrom="column">
              <wp:posOffset>534670</wp:posOffset>
            </wp:positionH>
            <wp:positionV relativeFrom="paragraph">
              <wp:posOffset>3168650</wp:posOffset>
            </wp:positionV>
            <wp:extent cx="3422650" cy="2287270"/>
            <wp:effectExtent l="4445" t="4445" r="20955" b="1333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_GB2312" w:eastAsia="仿宋_GB2312" w:cs="宋体" w:hAnsiTheme="minorEastAsia"/>
          <w:color w:val="000000"/>
          <w:sz w:val="32"/>
          <w:szCs w:val="32"/>
        </w:rPr>
        <w:t>初步统计，</w:t>
      </w:r>
      <w:r>
        <w:rPr>
          <w:rFonts w:hint="eastAsia" w:ascii="仿宋_GB2312" w:eastAsia="仿宋_GB2312" w:cs="宋体" w:hAnsiTheme="minorEastAsia"/>
          <w:color w:val="000000"/>
          <w:sz w:val="32"/>
          <w:szCs w:val="32"/>
          <w:lang w:val="en-US" w:eastAsia="zh-CN"/>
        </w:rPr>
        <w:t>2017</w:t>
      </w:r>
      <w:r>
        <w:rPr>
          <w:rFonts w:hint="eastAsia" w:ascii="仿宋_GB2312" w:eastAsia="仿宋_GB2312" w:cs="宋体" w:hAnsiTheme="minorEastAsia"/>
          <w:color w:val="000000"/>
          <w:sz w:val="32"/>
          <w:szCs w:val="32"/>
        </w:rPr>
        <w:t>年全年</w:t>
      </w:r>
      <w:r>
        <w:rPr>
          <w:rFonts w:hint="eastAsia" w:ascii="仿宋_GB2312" w:eastAsia="仿宋_GB2312" w:cs="宋体" w:hAnsiTheme="minorEastAsia"/>
          <w:color w:val="000000"/>
          <w:sz w:val="32"/>
          <w:szCs w:val="32"/>
          <w:lang w:eastAsia="zh-CN"/>
        </w:rPr>
        <w:t>山东省商务厅官方网站公开</w:t>
      </w:r>
      <w:r>
        <w:rPr>
          <w:rFonts w:hint="eastAsia" w:ascii="仿宋_GB2312" w:eastAsia="仿宋_GB2312" w:cs="宋体" w:hAnsiTheme="minorEastAsia"/>
          <w:color w:val="000000"/>
          <w:sz w:val="32"/>
          <w:szCs w:val="32"/>
        </w:rPr>
        <w:t>发布信息</w:t>
      </w:r>
      <w:r>
        <w:rPr>
          <w:rFonts w:hint="eastAsia" w:ascii="仿宋_GB2312" w:eastAsia="仿宋_GB2312" w:cs="宋体" w:hAnsiTheme="minorEastAsia"/>
          <w:color w:val="000000"/>
          <w:sz w:val="32"/>
          <w:szCs w:val="32"/>
          <w:lang w:val="en-US" w:eastAsia="zh-CN"/>
        </w:rPr>
        <w:t>3689</w:t>
      </w:r>
      <w:r>
        <w:rPr>
          <w:rFonts w:hint="eastAsia" w:ascii="仿宋_GB2312" w:eastAsia="仿宋_GB2312" w:cs="宋体" w:hAnsiTheme="minorEastAsia"/>
          <w:color w:val="000000"/>
          <w:sz w:val="32"/>
          <w:szCs w:val="32"/>
        </w:rPr>
        <w:t>条，访问量达</w:t>
      </w:r>
      <w:r>
        <w:rPr>
          <w:rFonts w:hint="eastAsia" w:ascii="仿宋_GB2312" w:eastAsia="仿宋_GB2312" w:cs="宋体" w:hAnsiTheme="minorEastAsia"/>
          <w:color w:val="000000"/>
          <w:sz w:val="32"/>
          <w:szCs w:val="32"/>
          <w:lang w:val="en-US" w:eastAsia="zh-CN"/>
        </w:rPr>
        <w:t>4355</w:t>
      </w:r>
      <w:r>
        <w:rPr>
          <w:rFonts w:hint="eastAsia" w:ascii="仿宋_GB2312" w:eastAsia="仿宋_GB2312" w:cs="宋体" w:hAnsiTheme="minorEastAsia"/>
          <w:color w:val="000000"/>
          <w:sz w:val="32"/>
          <w:szCs w:val="32"/>
        </w:rPr>
        <w:t>万次。全年通过不同渠道和方式公开政府信息</w:t>
      </w:r>
      <w:r>
        <w:rPr>
          <w:rFonts w:hint="eastAsia" w:ascii="仿宋_GB2312" w:eastAsia="仿宋_GB2312" w:cs="宋体" w:hAnsiTheme="minorEastAsia"/>
          <w:color w:val="000000"/>
          <w:sz w:val="32"/>
          <w:szCs w:val="32"/>
          <w:lang w:val="en-US" w:eastAsia="zh-CN"/>
        </w:rPr>
        <w:t>4188</w:t>
      </w:r>
      <w:r>
        <w:rPr>
          <w:rFonts w:hint="eastAsia" w:ascii="仿宋_GB2312" w:eastAsia="仿宋_GB2312" w:cs="宋体" w:hAnsiTheme="minorEastAsia"/>
          <w:color w:val="000000"/>
          <w:sz w:val="32"/>
          <w:szCs w:val="32"/>
        </w:rPr>
        <w:t>条，其中政府网站公开政府信息数</w:t>
      </w:r>
      <w:r>
        <w:rPr>
          <w:rFonts w:hint="eastAsia" w:ascii="仿宋_GB2312" w:eastAsia="仿宋_GB2312" w:cs="宋体" w:hAnsiTheme="minorEastAsia"/>
          <w:color w:val="000000"/>
          <w:sz w:val="32"/>
          <w:szCs w:val="32"/>
          <w:lang w:val="en-US" w:eastAsia="zh-CN"/>
        </w:rPr>
        <w:t>3689</w:t>
      </w:r>
      <w:r>
        <w:rPr>
          <w:rFonts w:hint="eastAsia" w:ascii="仿宋_GB2312" w:eastAsia="仿宋_GB2312" w:cs="宋体" w:hAnsiTheme="minorEastAsia"/>
          <w:color w:val="000000"/>
          <w:sz w:val="32"/>
          <w:szCs w:val="32"/>
        </w:rPr>
        <w:t>条，政务微博公开政府信息数</w:t>
      </w:r>
      <w:r>
        <w:rPr>
          <w:rFonts w:hint="eastAsia" w:ascii="仿宋_GB2312" w:eastAsia="仿宋_GB2312" w:cs="宋体" w:hAnsiTheme="minorEastAsia"/>
          <w:color w:val="000000"/>
          <w:sz w:val="32"/>
          <w:szCs w:val="32"/>
          <w:lang w:val="en-US" w:eastAsia="zh-CN"/>
        </w:rPr>
        <w:t>1190</w:t>
      </w:r>
      <w:r>
        <w:rPr>
          <w:rFonts w:hint="eastAsia" w:ascii="仿宋_GB2312" w:eastAsia="仿宋_GB2312" w:cs="宋体" w:hAnsiTheme="minorEastAsia"/>
          <w:color w:val="000000"/>
          <w:sz w:val="32"/>
          <w:szCs w:val="32"/>
        </w:rPr>
        <w:t>条，政务微信公开政府信息数</w:t>
      </w:r>
      <w:r>
        <w:rPr>
          <w:rFonts w:hint="eastAsia" w:ascii="仿宋_GB2312" w:eastAsia="仿宋_GB2312" w:cs="宋体" w:hAnsiTheme="minorEastAsia"/>
          <w:color w:val="000000"/>
          <w:sz w:val="32"/>
          <w:szCs w:val="32"/>
          <w:lang w:val="en-US" w:eastAsia="zh-CN"/>
        </w:rPr>
        <w:t>1190</w:t>
      </w:r>
      <w:r>
        <w:rPr>
          <w:rFonts w:hint="eastAsia" w:ascii="仿宋_GB2312" w:eastAsia="仿宋_GB2312" w:cs="宋体" w:hAnsiTheme="minorEastAsia"/>
          <w:color w:val="000000"/>
          <w:sz w:val="32"/>
          <w:szCs w:val="32"/>
        </w:rPr>
        <w:t>条。</w:t>
      </w:r>
      <w:r>
        <w:rPr>
          <w:rFonts w:hint="eastAsia" w:ascii="仿宋_GB2312" w:eastAsia="仿宋_GB2312" w:cs="宋体" w:hAnsiTheme="minorEastAsia"/>
          <w:color w:val="000000"/>
          <w:sz w:val="32"/>
          <w:szCs w:val="32"/>
          <w:lang w:eastAsia="zh-CN"/>
        </w:rPr>
        <w:t>全年参加省政府新闻办新闻发布会</w:t>
      </w:r>
      <w:r>
        <w:rPr>
          <w:rFonts w:hint="eastAsia" w:ascii="仿宋_GB2312" w:eastAsia="仿宋_GB2312" w:cs="宋体" w:hAnsiTheme="minorEastAsia"/>
          <w:color w:val="000000"/>
          <w:sz w:val="32"/>
          <w:szCs w:val="32"/>
          <w:lang w:val="en-US" w:eastAsia="zh-CN"/>
        </w:rPr>
        <w:t>5次，自主举办新闻发布会1次，网站在线访谈30次，其中主要负责人参与访谈1次。全年答复网民咨询留言617件。</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643" w:firstLineChars="200"/>
        <w:jc w:val="left"/>
        <w:textAlignment w:val="auto"/>
        <w:outlineLvl w:val="9"/>
        <w:rPr>
          <w:rFonts w:hint="eastAsia" w:ascii="楷体_GB2312" w:hAnsi="楷体_GB2312" w:eastAsia="楷体_GB2312" w:cs="楷体_GB2312"/>
          <w:b/>
          <w:color w:val="00000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643" w:firstLineChars="200"/>
        <w:jc w:val="both"/>
        <w:textAlignment w:val="auto"/>
        <w:outlineLvl w:val="9"/>
        <w:rPr>
          <w:rFonts w:hint="eastAsia" w:ascii="仿宋_GB2312" w:eastAsia="仿宋_GB2312" w:cs="宋体" w:hAnsiTheme="minorEastAsia"/>
          <w:color w:val="000000"/>
          <w:sz w:val="32"/>
          <w:szCs w:val="32"/>
          <w:lang w:eastAsia="zh-CN"/>
        </w:rPr>
      </w:pPr>
      <w:r>
        <w:rPr>
          <w:rFonts w:hint="eastAsia" w:ascii="楷体_GB2312" w:hAnsi="楷体_GB2312" w:eastAsia="楷体_GB2312" w:cs="楷体_GB2312"/>
          <w:b/>
          <w:color w:val="000000"/>
          <w:sz w:val="32"/>
          <w:szCs w:val="32"/>
          <w:lang w:val="en-US" w:eastAsia="zh-CN"/>
        </w:rPr>
        <w:t>（一）</w:t>
      </w:r>
      <w:r>
        <w:rPr>
          <w:rFonts w:hint="eastAsia" w:ascii="楷体_GB2312" w:hAnsi="楷体_GB2312" w:eastAsia="楷体_GB2312" w:cs="楷体_GB2312"/>
          <w:b/>
          <w:color w:val="000000"/>
          <w:sz w:val="32"/>
          <w:szCs w:val="32"/>
        </w:rPr>
        <w:t>推进财政信息公开。</w:t>
      </w:r>
      <w:r>
        <w:rPr>
          <w:rFonts w:hint="eastAsia" w:ascii="仿宋_GB2312" w:eastAsia="仿宋_GB2312" w:cs="宋体" w:hAnsiTheme="minorEastAsia"/>
          <w:color w:val="000000"/>
          <w:sz w:val="32"/>
          <w:szCs w:val="32"/>
        </w:rPr>
        <w:t>积极做好部门预决算和“三公”经费公开工作，细化公开到支出功能分类的项级科目，“三公”经费决算公开细化说明因公出国（境）团组数以及“三公”经费增减变化原因等</w:t>
      </w:r>
      <w:r>
        <w:rPr>
          <w:rFonts w:hint="eastAsia" w:ascii="仿宋_GB2312" w:eastAsia="仿宋_GB2312" w:cs="宋体" w:hAnsiTheme="minorEastAsia"/>
          <w:color w:val="000000"/>
          <w:sz w:val="32"/>
          <w:szCs w:val="32"/>
          <w:lang w:val="en-US" w:eastAsia="zh-CN"/>
        </w:rPr>
        <w:t>信息</w:t>
      </w:r>
      <w:r>
        <w:rPr>
          <w:rFonts w:hint="eastAsia" w:ascii="仿宋_GB2312" w:eastAsia="仿宋_GB2312" w:cs="宋体" w:hAnsiTheme="minorEastAsia"/>
          <w:color w:val="000000"/>
          <w:sz w:val="32"/>
          <w:szCs w:val="32"/>
        </w:rPr>
        <w:t>。</w:t>
      </w:r>
      <w:r>
        <w:rPr>
          <w:rFonts w:hint="eastAsia" w:ascii="仿宋_GB2312" w:eastAsia="仿宋_GB2312" w:cs="宋体" w:hAnsiTheme="minorEastAsia"/>
          <w:color w:val="000000"/>
          <w:sz w:val="32"/>
          <w:szCs w:val="32"/>
          <w:lang w:eastAsia="zh-CN"/>
        </w:rPr>
        <w:t>在厅网站设立了“公共资源管理平台”栏目，实时发布我厅重大经贸活动、境内外展会、政府采购、政府购买服务招投标信息，接受社会监督。</w:t>
      </w:r>
    </w:p>
    <w:p>
      <w:pPr>
        <w:numPr>
          <w:ilvl w:val="0"/>
          <w:numId w:val="0"/>
        </w:numPr>
        <w:adjustRightInd/>
        <w:snapToGrid/>
        <w:spacing w:after="0" w:line="360" w:lineRule="auto"/>
        <w:rPr>
          <w:rFonts w:hint="eastAsia" w:ascii="仿宋_GB2312" w:eastAsia="仿宋_GB2312" w:cs="宋体" w:hAnsiTheme="minorEastAsia"/>
          <w:color w:val="000000"/>
          <w:sz w:val="32"/>
          <w:szCs w:val="32"/>
          <w:lang w:eastAsia="zh-CN"/>
        </w:rPr>
      </w:pPr>
      <w:r>
        <w:drawing>
          <wp:anchor distT="0" distB="0" distL="114300" distR="114300" simplePos="0" relativeHeight="251661312" behindDoc="0" locked="0" layoutInCell="1" allowOverlap="1">
            <wp:simplePos x="0" y="0"/>
            <wp:positionH relativeFrom="column">
              <wp:posOffset>1047750</wp:posOffset>
            </wp:positionH>
            <wp:positionV relativeFrom="paragraph">
              <wp:posOffset>215265</wp:posOffset>
            </wp:positionV>
            <wp:extent cx="3137535" cy="2402840"/>
            <wp:effectExtent l="0" t="0" r="5715" b="1651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3137535" cy="2402840"/>
                    </a:xfrm>
                    <a:prstGeom prst="rect">
                      <a:avLst/>
                    </a:prstGeom>
                    <a:noFill/>
                    <a:ln w="9525">
                      <a:noFill/>
                    </a:ln>
                  </pic:spPr>
                </pic:pic>
              </a:graphicData>
            </a:graphic>
          </wp:anchor>
        </w:drawing>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643" w:firstLineChars="200"/>
        <w:jc w:val="both"/>
        <w:textAlignment w:val="auto"/>
        <w:outlineLvl w:val="9"/>
        <w:rPr>
          <w:rFonts w:hint="eastAsia" w:ascii="仿宋_GB2312" w:eastAsia="仿宋_GB2312" w:cs="宋体" w:hAnsiTheme="minorEastAsia"/>
          <w:b w:val="0"/>
          <w:bCs w:val="0"/>
          <w:color w:val="000000"/>
          <w:kern w:val="0"/>
          <w:sz w:val="32"/>
          <w:szCs w:val="32"/>
          <w:lang w:val="en-US" w:eastAsia="zh-CN" w:bidi="ar-SA"/>
        </w:rPr>
      </w:pPr>
      <w:r>
        <w:rPr>
          <w:rFonts w:hint="eastAsia" w:ascii="楷体_GB2312" w:hAnsi="楷体_GB2312" w:eastAsia="楷体_GB2312" w:cs="楷体_GB2312"/>
          <w:b/>
          <w:bCs w:val="0"/>
          <w:color w:val="000000"/>
          <w:kern w:val="0"/>
          <w:sz w:val="32"/>
          <w:szCs w:val="32"/>
          <w:lang w:val="en-US" w:eastAsia="zh-CN" w:bidi="ar-SA"/>
        </w:rPr>
        <w:t>（二）推进行政权力运行信息公开。</w:t>
      </w:r>
      <w:r>
        <w:rPr>
          <w:rFonts w:hint="eastAsia" w:ascii="仿宋_GB2312" w:eastAsia="仿宋_GB2312" w:cs="宋体" w:hAnsiTheme="minorEastAsia"/>
          <w:b w:val="0"/>
          <w:bCs w:val="0"/>
          <w:color w:val="000000"/>
          <w:kern w:val="0"/>
          <w:sz w:val="32"/>
          <w:szCs w:val="32"/>
          <w:lang w:val="en-US" w:eastAsia="zh-CN" w:bidi="ar-SA"/>
        </w:rPr>
        <w:t>加大行政审批、行政许可、行政处罚等信息公开力度，积极推进行政权力公开透明运行。一是深化政策法规信息公开。及时发布有关工作部署及政策信息，规范商务工作管理，发布解读了</w:t>
      </w:r>
      <w:r>
        <w:rPr>
          <w:rFonts w:hint="eastAsia" w:ascii="仿宋_GB2312" w:eastAsia="仿宋_GB2312" w:cs="宋体" w:hAnsiTheme="minorEastAsia"/>
          <w:b w:val="0"/>
          <w:bCs w:val="0"/>
          <w:color w:val="000000"/>
          <w:kern w:val="0"/>
          <w:sz w:val="32"/>
          <w:szCs w:val="32"/>
          <w:lang w:val="en-US" w:eastAsia="zh-CN" w:bidi="ar-SA"/>
        </w:rPr>
        <w:fldChar w:fldCharType="begin"/>
      </w:r>
      <w:r>
        <w:rPr>
          <w:rFonts w:hint="eastAsia" w:ascii="仿宋_GB2312" w:eastAsia="仿宋_GB2312" w:cs="宋体" w:hAnsiTheme="minorEastAsia"/>
          <w:b w:val="0"/>
          <w:bCs w:val="0"/>
          <w:color w:val="000000"/>
          <w:kern w:val="0"/>
          <w:sz w:val="32"/>
          <w:szCs w:val="32"/>
          <w:lang w:val="en-US" w:eastAsia="zh-CN" w:bidi="ar-SA"/>
        </w:rPr>
        <w:instrText xml:space="preserve"> HYPERLINK "http://sdcom.gov.cn/public/html/news/402450.html" \o "山东省政府新闻办举行新闻发布会解读《关于促进内贸流通供给侧结构性改革的意见》" \t "http://sdcom.gov.cn/public/html/groups/_blank" </w:instrText>
      </w:r>
      <w:r>
        <w:rPr>
          <w:rFonts w:hint="eastAsia" w:ascii="仿宋_GB2312" w:eastAsia="仿宋_GB2312" w:cs="宋体" w:hAnsiTheme="minorEastAsia"/>
          <w:b w:val="0"/>
          <w:bCs w:val="0"/>
          <w:color w:val="000000"/>
          <w:kern w:val="0"/>
          <w:sz w:val="32"/>
          <w:szCs w:val="32"/>
          <w:lang w:val="en-US" w:eastAsia="zh-CN" w:bidi="ar-SA"/>
        </w:rPr>
        <w:fldChar w:fldCharType="separate"/>
      </w:r>
      <w:r>
        <w:rPr>
          <w:rFonts w:hint="eastAsia" w:ascii="仿宋_GB2312" w:eastAsia="仿宋_GB2312" w:cs="宋体" w:hAnsiTheme="minorEastAsia"/>
          <w:b w:val="0"/>
          <w:bCs w:val="0"/>
          <w:color w:val="000000"/>
          <w:kern w:val="0"/>
          <w:sz w:val="32"/>
          <w:szCs w:val="32"/>
          <w:lang w:val="en-US" w:eastAsia="zh-CN" w:bidi="ar-SA"/>
        </w:rPr>
        <w:t>《关于促进内贸流通供给侧结构性改革的意见》</w:t>
      </w:r>
      <w:r>
        <w:rPr>
          <w:rFonts w:hint="eastAsia" w:ascii="仿宋_GB2312" w:eastAsia="仿宋_GB2312" w:cs="宋体" w:hAnsiTheme="minorEastAsia"/>
          <w:b w:val="0"/>
          <w:bCs w:val="0"/>
          <w:color w:val="000000"/>
          <w:kern w:val="0"/>
          <w:sz w:val="32"/>
          <w:szCs w:val="32"/>
          <w:lang w:val="en-US" w:eastAsia="zh-CN" w:bidi="ar-SA"/>
        </w:rPr>
        <w:fldChar w:fldCharType="end"/>
      </w:r>
      <w:r>
        <w:rPr>
          <w:rFonts w:hint="eastAsia" w:ascii="仿宋_GB2312" w:eastAsia="仿宋_GB2312" w:cs="宋体" w:hAnsiTheme="minorEastAsia"/>
          <w:b w:val="0"/>
          <w:bCs w:val="0"/>
          <w:color w:val="000000"/>
          <w:kern w:val="0"/>
          <w:sz w:val="32"/>
          <w:szCs w:val="32"/>
          <w:lang w:val="en-US" w:eastAsia="zh-CN" w:bidi="ar-SA"/>
        </w:rPr>
        <w:fldChar w:fldCharType="begin"/>
      </w:r>
      <w:r>
        <w:rPr>
          <w:rFonts w:hint="eastAsia" w:ascii="仿宋_GB2312" w:eastAsia="仿宋_GB2312" w:cs="宋体" w:hAnsiTheme="minorEastAsia"/>
          <w:b w:val="0"/>
          <w:bCs w:val="0"/>
          <w:color w:val="000000"/>
          <w:kern w:val="0"/>
          <w:sz w:val="32"/>
          <w:szCs w:val="32"/>
          <w:lang w:val="en-US" w:eastAsia="zh-CN" w:bidi="ar-SA"/>
        </w:rPr>
        <w:instrText xml:space="preserve"> HYPERLINK "http://sdcom.gov.cn/public/html/news/402451.html" \o "解读《山东省品牌展会认定办法（试行）》" \t "http://sdcom.gov.cn/public/html/groups/_blank" </w:instrText>
      </w:r>
      <w:r>
        <w:rPr>
          <w:rFonts w:hint="eastAsia" w:ascii="仿宋_GB2312" w:eastAsia="仿宋_GB2312" w:cs="宋体" w:hAnsiTheme="minorEastAsia"/>
          <w:b w:val="0"/>
          <w:bCs w:val="0"/>
          <w:color w:val="000000"/>
          <w:kern w:val="0"/>
          <w:sz w:val="32"/>
          <w:szCs w:val="32"/>
          <w:lang w:val="en-US" w:eastAsia="zh-CN" w:bidi="ar-SA"/>
        </w:rPr>
        <w:fldChar w:fldCharType="separate"/>
      </w:r>
      <w:r>
        <w:rPr>
          <w:rFonts w:hint="eastAsia" w:ascii="仿宋_GB2312" w:eastAsia="仿宋_GB2312" w:cs="宋体" w:hAnsiTheme="minorEastAsia"/>
          <w:b w:val="0"/>
          <w:bCs w:val="0"/>
          <w:color w:val="000000"/>
          <w:kern w:val="0"/>
          <w:sz w:val="32"/>
          <w:szCs w:val="32"/>
          <w:lang w:val="en-US" w:eastAsia="zh-CN" w:bidi="ar-SA"/>
        </w:rPr>
        <w:t>《山东省品牌展会认定办法（试行）》</w:t>
      </w:r>
      <w:r>
        <w:rPr>
          <w:rFonts w:hint="eastAsia" w:ascii="仿宋_GB2312" w:eastAsia="仿宋_GB2312" w:cs="宋体" w:hAnsiTheme="minorEastAsia"/>
          <w:b w:val="0"/>
          <w:bCs w:val="0"/>
          <w:color w:val="000000"/>
          <w:kern w:val="0"/>
          <w:sz w:val="32"/>
          <w:szCs w:val="32"/>
          <w:lang w:val="en-US" w:eastAsia="zh-CN" w:bidi="ar-SA"/>
        </w:rPr>
        <w:fldChar w:fldCharType="end"/>
      </w:r>
      <w:r>
        <w:rPr>
          <w:rFonts w:hint="eastAsia" w:ascii="仿宋_GB2312" w:eastAsia="仿宋_GB2312" w:cs="宋体" w:hAnsiTheme="minorEastAsia"/>
          <w:b w:val="0"/>
          <w:bCs w:val="0"/>
          <w:color w:val="000000"/>
          <w:kern w:val="0"/>
          <w:sz w:val="32"/>
          <w:szCs w:val="32"/>
          <w:lang w:val="en-US" w:eastAsia="zh-CN" w:bidi="ar-SA"/>
        </w:rPr>
        <w:t xml:space="preserve">等一系列政策文件。二是推进商务领域行政审批事项信息公开。我厅门户网站全面公开行政审批事项清单，依法公开权力运行流程，接受社会监督。加强行政审批项目调整信息公开，围绕国务院，省委省政府关于简政放权的决策部署，及时公开取消、下放、清理的行政审批项目信息。继续推进行政许可办理信息公开，加强依据、条件、程序、数量、期限、需要提交材料目录以及办理情况的信息公开工作。 </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643" w:firstLineChars="200"/>
        <w:jc w:val="both"/>
        <w:textAlignment w:val="auto"/>
        <w:outlineLvl w:val="9"/>
        <w:rPr>
          <w:rFonts w:hint="eastAsia" w:ascii="仿宋_GB2312" w:eastAsia="仿宋_GB2312" w:cs="宋体" w:hAnsiTheme="minorEastAsia"/>
          <w:color w:val="000000"/>
          <w:sz w:val="32"/>
          <w:szCs w:val="32"/>
          <w:lang w:val="en-US" w:eastAsia="zh-CN"/>
        </w:rPr>
      </w:pPr>
      <w:r>
        <w:rPr>
          <w:rFonts w:hint="eastAsia" w:ascii="楷体_GB2312" w:hAnsi="楷体_GB2312" w:eastAsia="楷体_GB2312" w:cs="楷体_GB2312"/>
          <w:b/>
          <w:color w:val="000000"/>
          <w:sz w:val="32"/>
          <w:szCs w:val="32"/>
        </w:rPr>
        <w:t>（三）及时公开统计数据信息。</w:t>
      </w:r>
      <w:r>
        <w:rPr>
          <w:rFonts w:hint="eastAsia" w:ascii="仿宋_GB2312" w:eastAsia="仿宋_GB2312" w:cs="宋体" w:hAnsiTheme="minorEastAsia"/>
          <w:color w:val="000000"/>
          <w:sz w:val="32"/>
          <w:szCs w:val="32"/>
        </w:rPr>
        <w:t>强化商务领域民生政策执行情况公开，及</w:t>
      </w:r>
      <w:r>
        <w:rPr>
          <w:rFonts w:hint="eastAsia" w:ascii="仿宋_GB2312" w:eastAsia="仿宋_GB2312" w:cs="宋体" w:hAnsiTheme="minorEastAsia"/>
          <w:color w:val="000000"/>
          <w:sz w:val="32"/>
          <w:szCs w:val="32"/>
          <w:lang w:val="en-US" w:eastAsia="zh-CN"/>
        </w:rPr>
        <w:t xml:space="preserve">时、准确、全面向社会发布食用农产品、重要生产资料市场动态、价格走势、预测预警等信息，不断提高公共服务水平。加强商务运行分析的公开，对各月份全省商务运行情况，从月度、洲别、地区、行业等角度对外贸、外资、走出去等相关情况在门户网站上及时公开。 </w:t>
      </w:r>
    </w:p>
    <w:p>
      <w:pPr>
        <w:adjustRightInd/>
        <w:snapToGrid/>
        <w:spacing w:after="0" w:line="360" w:lineRule="auto"/>
        <w:ind w:firstLine="440" w:firstLineChars="200"/>
        <w:rPr>
          <w:rFonts w:hint="eastAsia" w:ascii="仿宋_GB2312" w:eastAsia="仿宋_GB2312" w:cs="宋体" w:hAnsiTheme="minorEastAsia"/>
          <w:color w:val="000000"/>
          <w:sz w:val="32"/>
          <w:szCs w:val="32"/>
        </w:rPr>
      </w:pPr>
      <w:r>
        <w:drawing>
          <wp:inline distT="0" distB="0" distL="114300" distR="114300">
            <wp:extent cx="4933315" cy="2239010"/>
            <wp:effectExtent l="0" t="0" r="635" b="889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4933315" cy="2239010"/>
                    </a:xfrm>
                    <a:prstGeom prst="rect">
                      <a:avLst/>
                    </a:prstGeom>
                    <a:noFill/>
                    <a:ln w="9525">
                      <a:noFill/>
                    </a:ln>
                  </pic:spPr>
                </pic:pic>
              </a:graphicData>
            </a:graphic>
          </wp:inline>
        </w:drawing>
      </w:r>
    </w:p>
    <w:p>
      <w:pPr>
        <w:keepNext w:val="0"/>
        <w:keepLines w:val="0"/>
        <w:pageBreakBefore w:val="0"/>
        <w:widowControl/>
        <w:numPr>
          <w:ilvl w:val="0"/>
          <w:numId w:val="1"/>
        </w:numPr>
        <w:kinsoku/>
        <w:wordWrap/>
        <w:overflowPunct/>
        <w:topLinePunct w:val="0"/>
        <w:autoSpaceDE/>
        <w:autoSpaceDN/>
        <w:bidi w:val="0"/>
        <w:adjustRightInd w:val="0"/>
        <w:snapToGrid w:val="0"/>
        <w:spacing w:after="0" w:line="580" w:lineRule="exact"/>
        <w:ind w:left="0" w:leftChars="0" w:right="0" w:rightChars="0" w:firstLine="640" w:firstLineChars="200"/>
        <w:jc w:val="both"/>
        <w:textAlignment w:val="auto"/>
        <w:outlineLvl w:val="9"/>
        <w:rPr>
          <w:rFonts w:hint="eastAsia" w:ascii="仿宋_GB2312" w:eastAsia="仿宋_GB2312" w:cs="宋体" w:hAnsiTheme="minorEastAsia"/>
          <w:color w:val="000000"/>
          <w:sz w:val="32"/>
          <w:szCs w:val="32"/>
        </w:rPr>
      </w:pPr>
      <w:r>
        <w:rPr>
          <w:rFonts w:hint="eastAsia" w:ascii="黑体" w:hAnsi="黑体" w:eastAsia="黑体" w:cs="黑体"/>
          <w:b w:val="0"/>
          <w:bCs/>
          <w:color w:val="000000"/>
          <w:sz w:val="32"/>
          <w:szCs w:val="32"/>
        </w:rPr>
        <w:t>政府信息公开申请的办理情况</w:t>
      </w:r>
      <w:r>
        <w:rPr>
          <w:rFonts w:hint="eastAsia" w:ascii="黑体" w:hAnsi="黑体" w:eastAsia="黑体" w:cs="黑体"/>
          <w:b w:val="0"/>
          <w:bCs/>
          <w:color w:val="000000"/>
          <w:sz w:val="32"/>
          <w:szCs w:val="32"/>
        </w:rPr>
        <w:br w:type="textWrapping"/>
      </w:r>
      <w:r>
        <w:rPr>
          <w:rFonts w:hint="eastAsia" w:ascii="仿宋_GB2312" w:eastAsia="仿宋_GB2312" w:cs="宋体" w:hAnsiTheme="minorEastAsia"/>
          <w:color w:val="000000"/>
          <w:sz w:val="32"/>
          <w:szCs w:val="32"/>
        </w:rPr>
        <w:t>　　201</w:t>
      </w:r>
      <w:r>
        <w:rPr>
          <w:rFonts w:hint="eastAsia" w:ascii="仿宋_GB2312" w:eastAsia="仿宋_GB2312" w:cs="宋体" w:hAnsiTheme="minorEastAsia"/>
          <w:color w:val="000000"/>
          <w:sz w:val="32"/>
          <w:szCs w:val="32"/>
          <w:lang w:val="en-US" w:eastAsia="zh-CN"/>
        </w:rPr>
        <w:t>7</w:t>
      </w:r>
      <w:r>
        <w:rPr>
          <w:rFonts w:hint="eastAsia" w:ascii="仿宋_GB2312" w:eastAsia="仿宋_GB2312" w:cs="宋体" w:hAnsiTheme="minorEastAsia"/>
          <w:color w:val="000000"/>
          <w:sz w:val="32"/>
          <w:szCs w:val="32"/>
        </w:rPr>
        <w:t>年1月1日至12月31日，我</w:t>
      </w:r>
      <w:r>
        <w:rPr>
          <w:rFonts w:hint="eastAsia" w:ascii="仿宋_GB2312" w:eastAsia="仿宋_GB2312" w:cs="宋体" w:hAnsiTheme="minorEastAsia"/>
          <w:color w:val="000000"/>
          <w:sz w:val="32"/>
          <w:szCs w:val="32"/>
          <w:lang w:eastAsia="zh-CN"/>
        </w:rPr>
        <w:t>厅</w:t>
      </w:r>
      <w:r>
        <w:rPr>
          <w:rFonts w:hint="eastAsia" w:ascii="仿宋_GB2312" w:eastAsia="仿宋_GB2312" w:cs="宋体" w:hAnsiTheme="minorEastAsia"/>
          <w:color w:val="000000"/>
          <w:sz w:val="32"/>
          <w:szCs w:val="32"/>
        </w:rPr>
        <w:t>共受理政府信息依申请公开申请</w:t>
      </w:r>
      <w:r>
        <w:rPr>
          <w:rFonts w:hint="eastAsia" w:ascii="仿宋_GB2312" w:eastAsia="仿宋_GB2312" w:cs="宋体" w:hAnsiTheme="minorEastAsia"/>
          <w:color w:val="000000"/>
          <w:sz w:val="32"/>
          <w:szCs w:val="32"/>
          <w:lang w:val="en-US" w:eastAsia="zh-CN"/>
        </w:rPr>
        <w:t>107件，其中网络申请100件，信函申请6件，当面申请1件，全部按时答复办结。</w:t>
      </w:r>
      <w:r>
        <w:rPr>
          <w:rFonts w:hint="eastAsia" w:ascii="仿宋_GB2312" w:eastAsia="仿宋_GB2312" w:cs="宋体" w:hAnsiTheme="minorEastAsia"/>
          <w:color w:val="000000"/>
          <w:sz w:val="32"/>
          <w:szCs w:val="32"/>
        </w:rPr>
        <w:br w:type="textWrapping"/>
      </w:r>
      <w:r>
        <w:rPr>
          <w:rFonts w:hint="eastAsia" w:ascii="黑体" w:hAnsi="黑体" w:eastAsia="黑体" w:cs="黑体"/>
          <w:b w:val="0"/>
          <w:bCs/>
          <w:color w:val="000000"/>
          <w:sz w:val="32"/>
          <w:szCs w:val="32"/>
        </w:rPr>
        <w:t>　　</w:t>
      </w:r>
      <w:r>
        <w:rPr>
          <w:rFonts w:hint="eastAsia" w:ascii="黑体" w:hAnsi="黑体" w:eastAsia="黑体" w:cs="黑体"/>
          <w:b w:val="0"/>
          <w:bCs/>
          <w:color w:val="000000"/>
          <w:sz w:val="32"/>
          <w:szCs w:val="32"/>
          <w:lang w:eastAsia="zh-CN"/>
        </w:rPr>
        <w:t>四</w:t>
      </w:r>
      <w:r>
        <w:rPr>
          <w:rFonts w:hint="eastAsia" w:ascii="黑体" w:hAnsi="黑体" w:eastAsia="黑体" w:cs="黑体"/>
          <w:b w:val="0"/>
          <w:bCs/>
          <w:color w:val="000000"/>
          <w:sz w:val="32"/>
          <w:szCs w:val="32"/>
        </w:rPr>
        <w:t>、政府信息公开的收费及减免情况</w:t>
      </w:r>
      <w:r>
        <w:rPr>
          <w:rFonts w:hint="eastAsia" w:ascii="黑体" w:hAnsi="黑体" w:eastAsia="黑体" w:cs="黑体"/>
          <w:b w:val="0"/>
          <w:bCs/>
          <w:color w:val="000000"/>
          <w:sz w:val="32"/>
          <w:szCs w:val="32"/>
        </w:rPr>
        <w:br w:type="textWrapping"/>
      </w:r>
      <w:r>
        <w:rPr>
          <w:rFonts w:hint="eastAsia" w:ascii="仿宋_GB2312" w:eastAsia="仿宋_GB2312" w:cs="宋体" w:hAnsiTheme="minorEastAsia"/>
          <w:color w:val="000000"/>
          <w:sz w:val="32"/>
          <w:szCs w:val="32"/>
        </w:rPr>
        <w:t>　　201</w:t>
      </w:r>
      <w:r>
        <w:rPr>
          <w:rFonts w:hint="eastAsia" w:ascii="仿宋_GB2312" w:eastAsia="仿宋_GB2312" w:cs="宋体" w:hAnsiTheme="minorEastAsia"/>
          <w:color w:val="000000"/>
          <w:sz w:val="32"/>
          <w:szCs w:val="32"/>
          <w:lang w:val="en-US" w:eastAsia="zh-CN"/>
        </w:rPr>
        <w:t>7</w:t>
      </w:r>
      <w:r>
        <w:rPr>
          <w:rFonts w:hint="eastAsia" w:ascii="仿宋_GB2312" w:eastAsia="仿宋_GB2312" w:cs="宋体" w:hAnsiTheme="minorEastAsia"/>
          <w:color w:val="000000"/>
          <w:sz w:val="32"/>
          <w:szCs w:val="32"/>
        </w:rPr>
        <w:t>年，我</w:t>
      </w:r>
      <w:r>
        <w:rPr>
          <w:rFonts w:hint="eastAsia" w:ascii="仿宋_GB2312" w:eastAsia="仿宋_GB2312" w:cs="宋体" w:hAnsiTheme="minorEastAsia"/>
          <w:color w:val="000000"/>
          <w:sz w:val="32"/>
          <w:szCs w:val="32"/>
          <w:lang w:eastAsia="zh-CN"/>
        </w:rPr>
        <w:t>厅</w:t>
      </w:r>
      <w:r>
        <w:rPr>
          <w:rFonts w:hint="eastAsia" w:ascii="仿宋_GB2312" w:eastAsia="仿宋_GB2312" w:cs="宋体" w:hAnsiTheme="minorEastAsia"/>
          <w:color w:val="000000"/>
          <w:sz w:val="32"/>
          <w:szCs w:val="32"/>
        </w:rPr>
        <w:t>在办理依申请公开工作中，未向申请人收取费用。</w:t>
      </w:r>
      <w:r>
        <w:rPr>
          <w:rFonts w:hint="eastAsia" w:ascii="仿宋_GB2312" w:eastAsia="仿宋_GB2312" w:cs="宋体" w:hAnsiTheme="minorEastAsia"/>
          <w:color w:val="000000"/>
          <w:sz w:val="32"/>
          <w:szCs w:val="32"/>
        </w:rPr>
        <w:br w:type="textWrapping"/>
      </w:r>
      <w:r>
        <w:rPr>
          <w:rFonts w:hint="eastAsia" w:ascii="黑体" w:hAnsi="黑体" w:eastAsia="黑体" w:cs="黑体"/>
          <w:b w:val="0"/>
          <w:bCs/>
          <w:color w:val="000000"/>
          <w:sz w:val="32"/>
          <w:szCs w:val="32"/>
        </w:rPr>
        <w:t>　　</w:t>
      </w:r>
      <w:r>
        <w:rPr>
          <w:rFonts w:hint="eastAsia" w:ascii="黑体" w:hAnsi="黑体" w:eastAsia="黑体" w:cs="黑体"/>
          <w:b w:val="0"/>
          <w:bCs/>
          <w:color w:val="000000"/>
          <w:sz w:val="32"/>
          <w:szCs w:val="32"/>
          <w:lang w:eastAsia="zh-CN"/>
        </w:rPr>
        <w:t>五</w:t>
      </w:r>
      <w:r>
        <w:rPr>
          <w:rFonts w:hint="eastAsia" w:ascii="黑体" w:hAnsi="黑体" w:eastAsia="黑体" w:cs="黑体"/>
          <w:b w:val="0"/>
          <w:bCs/>
          <w:color w:val="000000"/>
          <w:sz w:val="32"/>
          <w:szCs w:val="32"/>
        </w:rPr>
        <w:t>、因政府信息公开申请提起行政复议和行政诉讼情况</w:t>
      </w:r>
      <w:r>
        <w:rPr>
          <w:rFonts w:hint="eastAsia" w:ascii="黑体" w:hAnsi="黑体" w:eastAsia="黑体" w:cs="黑体"/>
          <w:b w:val="0"/>
          <w:bCs/>
          <w:color w:val="000000"/>
          <w:sz w:val="32"/>
          <w:szCs w:val="32"/>
        </w:rPr>
        <w:br w:type="textWrapping"/>
      </w:r>
      <w:r>
        <w:rPr>
          <w:rFonts w:hint="eastAsia" w:ascii="黑体" w:hAnsi="黑体" w:eastAsia="黑体" w:cs="黑体"/>
          <w:b w:val="0"/>
          <w:bCs/>
          <w:color w:val="000000"/>
          <w:sz w:val="32"/>
          <w:szCs w:val="32"/>
          <w:lang w:val="en-US" w:eastAsia="zh-CN"/>
        </w:rPr>
        <w:t xml:space="preserve">    </w:t>
      </w:r>
      <w:r>
        <w:rPr>
          <w:rFonts w:hint="eastAsia" w:ascii="仿宋_GB2312" w:eastAsia="仿宋_GB2312" w:cs="宋体" w:hAnsiTheme="minorEastAsia"/>
          <w:color w:val="000000"/>
          <w:sz w:val="32"/>
          <w:szCs w:val="32"/>
        </w:rPr>
        <w:t>201</w:t>
      </w:r>
      <w:r>
        <w:rPr>
          <w:rFonts w:hint="eastAsia" w:ascii="仿宋_GB2312" w:eastAsia="仿宋_GB2312" w:cs="宋体" w:hAnsiTheme="minorEastAsia"/>
          <w:color w:val="000000"/>
          <w:sz w:val="32"/>
          <w:szCs w:val="32"/>
          <w:lang w:val="en-US" w:eastAsia="zh-CN"/>
        </w:rPr>
        <w:t>7</w:t>
      </w:r>
      <w:r>
        <w:rPr>
          <w:rFonts w:hint="eastAsia" w:ascii="仿宋_GB2312" w:eastAsia="仿宋_GB2312" w:cs="宋体" w:hAnsiTheme="minorEastAsia"/>
          <w:color w:val="000000"/>
          <w:sz w:val="32"/>
          <w:szCs w:val="32"/>
        </w:rPr>
        <w:t>年，我</w:t>
      </w:r>
      <w:r>
        <w:rPr>
          <w:rFonts w:hint="eastAsia" w:ascii="仿宋_GB2312" w:eastAsia="仿宋_GB2312" w:cs="宋体" w:hAnsiTheme="minorEastAsia"/>
          <w:color w:val="000000"/>
          <w:sz w:val="32"/>
          <w:szCs w:val="32"/>
          <w:lang w:eastAsia="zh-CN"/>
        </w:rPr>
        <w:t>厅</w:t>
      </w:r>
      <w:r>
        <w:rPr>
          <w:rFonts w:hint="eastAsia" w:ascii="仿宋_GB2312" w:eastAsia="仿宋_GB2312" w:cs="宋体" w:hAnsiTheme="minorEastAsia"/>
          <w:color w:val="000000"/>
          <w:sz w:val="32"/>
          <w:szCs w:val="32"/>
        </w:rPr>
        <w:t>因政府信息公开引起申请行政复议</w:t>
      </w:r>
      <w:r>
        <w:rPr>
          <w:rFonts w:hint="eastAsia" w:ascii="仿宋_GB2312" w:eastAsia="仿宋_GB2312" w:cs="宋体" w:hAnsiTheme="minorEastAsia"/>
          <w:color w:val="000000"/>
          <w:sz w:val="32"/>
          <w:szCs w:val="32"/>
          <w:lang w:val="en-US" w:eastAsia="zh-CN"/>
        </w:rPr>
        <w:t>1起，省政府于2017年8月31日以鲁政复驳字（2017）513号驳回申请人复议请求。2017年，我厅</w:t>
      </w:r>
      <w:r>
        <w:rPr>
          <w:rFonts w:hint="eastAsia" w:ascii="仿宋_GB2312" w:eastAsia="仿宋_GB2312" w:cs="宋体" w:hAnsiTheme="minorEastAsia"/>
          <w:color w:val="000000"/>
          <w:sz w:val="32"/>
          <w:szCs w:val="32"/>
        </w:rPr>
        <w:t>未</w:t>
      </w:r>
      <w:r>
        <w:rPr>
          <w:rFonts w:hint="eastAsia" w:ascii="仿宋_GB2312" w:eastAsia="仿宋_GB2312" w:cs="宋体" w:hAnsiTheme="minorEastAsia"/>
          <w:b w:val="0"/>
          <w:bCs w:val="0"/>
          <w:color w:val="000000"/>
          <w:kern w:val="0"/>
          <w:sz w:val="32"/>
          <w:szCs w:val="32"/>
          <w:lang w:val="en-US" w:eastAsia="zh-CN" w:bidi="ar-SA"/>
        </w:rPr>
        <w:t>出现</w:t>
      </w:r>
      <w:r>
        <w:rPr>
          <w:rFonts w:hint="eastAsia" w:ascii="仿宋_GB2312" w:eastAsia="仿宋_GB2312" w:cs="宋体" w:hAnsiTheme="minorEastAsia"/>
          <w:color w:val="000000"/>
          <w:sz w:val="32"/>
          <w:szCs w:val="32"/>
        </w:rPr>
        <w:t>因政府信息公开提起行政诉讼的情况。</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leftChars="200" w:right="0" w:rightChars="0" w:firstLine="320" w:firstLineChars="100"/>
        <w:jc w:val="left"/>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eastAsia="zh-CN"/>
        </w:rPr>
        <w:t>六</w:t>
      </w:r>
      <w:r>
        <w:rPr>
          <w:rFonts w:hint="eastAsia" w:ascii="黑体" w:hAnsi="黑体" w:eastAsia="黑体" w:cs="黑体"/>
          <w:b w:val="0"/>
          <w:bCs/>
          <w:color w:val="000000"/>
          <w:sz w:val="32"/>
          <w:szCs w:val="32"/>
        </w:rPr>
        <w:t xml:space="preserve">、存在的主要问题和改进措施 </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640" w:firstLineChars="200"/>
        <w:jc w:val="both"/>
        <w:textAlignment w:val="auto"/>
        <w:outlineLvl w:val="9"/>
        <w:rPr>
          <w:rFonts w:hint="eastAsia" w:ascii="仿宋_GB2312" w:eastAsia="仿宋_GB2312" w:cs="宋体" w:hAnsiTheme="minorEastAsia"/>
          <w:color w:val="000000"/>
          <w:sz w:val="32"/>
          <w:szCs w:val="32"/>
        </w:rPr>
      </w:pPr>
      <w:r>
        <w:rPr>
          <w:rFonts w:hint="eastAsia" w:ascii="仿宋_GB2312" w:eastAsia="仿宋_GB2312" w:cs="宋体" w:hAnsiTheme="minorEastAsia"/>
          <w:b w:val="0"/>
          <w:bCs w:val="0"/>
          <w:color w:val="000000"/>
          <w:kern w:val="0"/>
          <w:sz w:val="32"/>
          <w:szCs w:val="32"/>
          <w:lang w:val="en-US" w:eastAsia="zh-CN" w:bidi="ar-SA"/>
        </w:rPr>
        <w:t>2017年，我厅虽然积极公开政务信息，但工作中仍然存在一些问题，例如部</w:t>
      </w:r>
      <w:r>
        <w:rPr>
          <w:rFonts w:hint="eastAsia" w:ascii="仿宋_GB2312" w:eastAsia="仿宋_GB2312" w:cs="宋体" w:hAnsiTheme="minorEastAsia"/>
          <w:color w:val="000000"/>
          <w:sz w:val="32"/>
          <w:szCs w:val="32"/>
        </w:rPr>
        <w:t>分</w:t>
      </w:r>
      <w:r>
        <w:rPr>
          <w:rFonts w:ascii="仿宋_GB2312" w:eastAsia="仿宋_GB2312" w:cs="宋体" w:hAnsiTheme="minorEastAsia"/>
          <w:color w:val="000000"/>
          <w:sz w:val="32"/>
          <w:szCs w:val="32"/>
        </w:rPr>
        <w:t>政务信息发布不及时</w:t>
      </w:r>
      <w:r>
        <w:rPr>
          <w:rFonts w:hint="eastAsia" w:ascii="仿宋_GB2312" w:eastAsia="仿宋_GB2312" w:cs="宋体" w:hAnsiTheme="minorEastAsia"/>
          <w:color w:val="000000"/>
          <w:sz w:val="32"/>
          <w:szCs w:val="32"/>
        </w:rPr>
        <w:t xml:space="preserve">、处室间业务联动配合不够等问题，对这些问题，我们将在今后的工作中采取措施加以改进提高。 </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640" w:firstLineChars="200"/>
        <w:jc w:val="both"/>
        <w:textAlignment w:val="auto"/>
        <w:outlineLvl w:val="9"/>
        <w:rPr>
          <w:rFonts w:hint="eastAsia"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下一步，我厅将进一</w:t>
      </w:r>
      <w:bookmarkStart w:id="0" w:name="_GoBack"/>
      <w:bookmarkEnd w:id="0"/>
      <w:r>
        <w:rPr>
          <w:rFonts w:hint="eastAsia" w:ascii="仿宋_GB2312" w:eastAsia="仿宋_GB2312" w:cs="宋体" w:hAnsiTheme="minorEastAsia"/>
          <w:color w:val="000000"/>
          <w:sz w:val="32"/>
          <w:szCs w:val="32"/>
        </w:rPr>
        <w:t xml:space="preserve">步加大政务公开工作力度，切实做到“以公开为常态，不公开为例外”，政务公开与各项业务工作同步部署、同步推进，增强信息分开实效，提高工作透明度和公信力。 </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643" w:firstLineChars="200"/>
        <w:jc w:val="both"/>
        <w:textAlignment w:val="auto"/>
        <w:outlineLvl w:val="9"/>
        <w:rPr>
          <w:rFonts w:hint="eastAsia" w:ascii="仿宋_GB2312" w:eastAsia="仿宋_GB2312" w:cs="宋体" w:hAnsiTheme="minorEastAsia"/>
          <w:color w:val="000000"/>
          <w:sz w:val="32"/>
          <w:szCs w:val="32"/>
        </w:rPr>
      </w:pPr>
      <w:r>
        <w:rPr>
          <w:rFonts w:hint="eastAsia" w:ascii="楷体_GB2312" w:hAnsi="楷体_GB2312" w:eastAsia="楷体_GB2312" w:cs="楷体_GB2312"/>
          <w:b/>
          <w:color w:val="000000"/>
          <w:sz w:val="32"/>
          <w:szCs w:val="32"/>
        </w:rPr>
        <w:t>一是加强政务公开组织领导。</w:t>
      </w:r>
      <w:r>
        <w:rPr>
          <w:rFonts w:hint="eastAsia" w:ascii="仿宋_GB2312" w:eastAsia="仿宋_GB2312" w:cs="宋体" w:hAnsiTheme="minorEastAsia"/>
          <w:color w:val="000000"/>
          <w:sz w:val="32"/>
          <w:szCs w:val="32"/>
        </w:rPr>
        <w:t>进一步建立</w:t>
      </w:r>
      <w:r>
        <w:rPr>
          <w:rFonts w:ascii="仿宋_GB2312" w:eastAsia="仿宋_GB2312" w:cs="宋体" w:hAnsiTheme="minorEastAsia"/>
          <w:color w:val="000000"/>
          <w:sz w:val="32"/>
          <w:szCs w:val="32"/>
        </w:rPr>
        <w:t>健全</w:t>
      </w:r>
      <w:r>
        <w:rPr>
          <w:rFonts w:hint="eastAsia" w:ascii="仿宋_GB2312" w:eastAsia="仿宋_GB2312" w:cs="宋体" w:hAnsiTheme="minorEastAsia"/>
          <w:color w:val="000000"/>
          <w:sz w:val="32"/>
          <w:szCs w:val="32"/>
        </w:rPr>
        <w:t>政府信息公开工作机制，</w:t>
      </w:r>
      <w:r>
        <w:rPr>
          <w:rFonts w:hint="eastAsia" w:ascii="仿宋_GB2312" w:eastAsia="仿宋_GB2312" w:cs="宋体" w:hAnsiTheme="minorEastAsia"/>
          <w:b w:val="0"/>
          <w:bCs w:val="0"/>
          <w:color w:val="000000"/>
          <w:kern w:val="0"/>
          <w:sz w:val="32"/>
          <w:szCs w:val="32"/>
          <w:lang w:val="en-US" w:eastAsia="zh-CN" w:bidi="ar-SA"/>
        </w:rPr>
        <w:t>开展</w:t>
      </w:r>
      <w:r>
        <w:rPr>
          <w:rFonts w:hint="eastAsia" w:ascii="仿宋_GB2312" w:eastAsia="仿宋_GB2312" w:cs="宋体" w:hAnsiTheme="minorEastAsia"/>
          <w:color w:val="000000"/>
          <w:sz w:val="32"/>
          <w:szCs w:val="32"/>
        </w:rPr>
        <w:t>政务公开</w:t>
      </w:r>
      <w:r>
        <w:rPr>
          <w:rFonts w:ascii="仿宋_GB2312" w:eastAsia="仿宋_GB2312" w:cs="宋体" w:hAnsiTheme="minorEastAsia"/>
          <w:color w:val="000000"/>
          <w:sz w:val="32"/>
          <w:szCs w:val="32"/>
        </w:rPr>
        <w:t>业务培训，</w:t>
      </w:r>
      <w:r>
        <w:rPr>
          <w:rFonts w:hint="eastAsia" w:ascii="仿宋_GB2312" w:eastAsia="仿宋_GB2312" w:cs="宋体" w:hAnsiTheme="minorEastAsia"/>
          <w:color w:val="000000"/>
          <w:sz w:val="32"/>
          <w:szCs w:val="32"/>
        </w:rPr>
        <w:t>增强政务公开</w:t>
      </w:r>
      <w:r>
        <w:rPr>
          <w:rFonts w:ascii="仿宋_GB2312" w:eastAsia="仿宋_GB2312" w:cs="宋体" w:hAnsiTheme="minorEastAsia"/>
          <w:color w:val="000000"/>
          <w:sz w:val="32"/>
          <w:szCs w:val="32"/>
        </w:rPr>
        <w:t>工作人员</w:t>
      </w:r>
      <w:r>
        <w:rPr>
          <w:rFonts w:hint="eastAsia" w:ascii="仿宋_GB2312" w:eastAsia="仿宋_GB2312" w:cs="宋体" w:hAnsiTheme="minorEastAsia"/>
          <w:color w:val="000000"/>
          <w:sz w:val="32"/>
          <w:szCs w:val="32"/>
        </w:rPr>
        <w:t>专业</w:t>
      </w:r>
      <w:r>
        <w:rPr>
          <w:rFonts w:ascii="仿宋_GB2312" w:eastAsia="仿宋_GB2312" w:cs="宋体" w:hAnsiTheme="minorEastAsia"/>
          <w:color w:val="000000"/>
          <w:sz w:val="32"/>
          <w:szCs w:val="32"/>
        </w:rPr>
        <w:t>能力</w:t>
      </w:r>
      <w:r>
        <w:rPr>
          <w:rFonts w:hint="eastAsia" w:ascii="仿宋_GB2312" w:eastAsia="仿宋_GB2312" w:cs="宋体" w:hAnsiTheme="minorEastAsia"/>
          <w:color w:val="000000"/>
          <w:sz w:val="32"/>
          <w:szCs w:val="32"/>
        </w:rPr>
        <w:t xml:space="preserve">，不断提升政务公开整体工作水平。 </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643" w:firstLineChars="200"/>
        <w:jc w:val="both"/>
        <w:textAlignment w:val="auto"/>
        <w:outlineLvl w:val="9"/>
        <w:rPr>
          <w:rFonts w:hint="eastAsia" w:ascii="仿宋_GB2312" w:eastAsia="仿宋_GB2312" w:cs="宋体" w:hAnsiTheme="minorEastAsia"/>
          <w:color w:val="000000"/>
          <w:sz w:val="32"/>
          <w:szCs w:val="32"/>
        </w:rPr>
      </w:pPr>
      <w:r>
        <w:rPr>
          <w:rFonts w:hint="eastAsia" w:ascii="楷体_GB2312" w:hAnsi="楷体_GB2312" w:eastAsia="楷体_GB2312" w:cs="楷体_GB2312"/>
          <w:b/>
          <w:color w:val="000000"/>
          <w:sz w:val="32"/>
          <w:szCs w:val="32"/>
        </w:rPr>
        <w:t>二是优化政务公开工作机制。</w:t>
      </w:r>
      <w:r>
        <w:rPr>
          <w:rFonts w:hint="eastAsia" w:ascii="仿宋_GB2312" w:eastAsia="仿宋_GB2312" w:cs="宋体" w:hAnsiTheme="minorEastAsia"/>
          <w:color w:val="000000"/>
          <w:sz w:val="32"/>
          <w:szCs w:val="32"/>
        </w:rPr>
        <w:t>在现有基础上，围绕国家</w:t>
      </w:r>
      <w:r>
        <w:rPr>
          <w:rFonts w:ascii="仿宋_GB2312" w:eastAsia="仿宋_GB2312" w:cs="宋体" w:hAnsiTheme="minorEastAsia"/>
          <w:color w:val="000000"/>
          <w:sz w:val="32"/>
          <w:szCs w:val="32"/>
        </w:rPr>
        <w:t>对</w:t>
      </w:r>
      <w:r>
        <w:rPr>
          <w:rFonts w:hint="eastAsia" w:ascii="仿宋_GB2312" w:eastAsia="仿宋_GB2312" w:cs="宋体" w:hAnsiTheme="minorEastAsia"/>
          <w:color w:val="000000"/>
          <w:sz w:val="32"/>
          <w:szCs w:val="32"/>
        </w:rPr>
        <w:t>政务公开工作的新要求，加强学习研究其他政府部门</w:t>
      </w:r>
      <w:r>
        <w:rPr>
          <w:rFonts w:ascii="仿宋_GB2312" w:eastAsia="仿宋_GB2312" w:cs="宋体" w:hAnsiTheme="minorEastAsia"/>
          <w:color w:val="000000"/>
          <w:sz w:val="32"/>
          <w:szCs w:val="32"/>
        </w:rPr>
        <w:t>先进做法</w:t>
      </w:r>
      <w:r>
        <w:rPr>
          <w:rFonts w:hint="eastAsia" w:ascii="仿宋_GB2312" w:eastAsia="仿宋_GB2312" w:cs="宋体" w:hAnsiTheme="minorEastAsia"/>
          <w:color w:val="000000"/>
          <w:sz w:val="32"/>
          <w:szCs w:val="32"/>
        </w:rPr>
        <w:t>，积极探索</w:t>
      </w:r>
      <w:r>
        <w:rPr>
          <w:rFonts w:hint="eastAsia" w:ascii="仿宋_GB2312" w:eastAsia="仿宋_GB2312" w:cs="宋体" w:hAnsiTheme="minorEastAsia"/>
          <w:b w:val="0"/>
          <w:bCs w:val="0"/>
          <w:color w:val="000000"/>
          <w:kern w:val="0"/>
          <w:sz w:val="32"/>
          <w:szCs w:val="32"/>
          <w:lang w:val="en-US" w:eastAsia="zh-CN" w:bidi="ar-SA"/>
        </w:rPr>
        <w:t>通过</w:t>
      </w:r>
      <w:r>
        <w:rPr>
          <w:rFonts w:ascii="仿宋_GB2312" w:eastAsia="仿宋_GB2312" w:cs="宋体" w:hAnsiTheme="minorEastAsia"/>
          <w:color w:val="000000"/>
          <w:sz w:val="32"/>
          <w:szCs w:val="32"/>
        </w:rPr>
        <w:t>新媒体</w:t>
      </w:r>
      <w:r>
        <w:rPr>
          <w:rFonts w:hint="eastAsia" w:ascii="仿宋_GB2312" w:eastAsia="仿宋_GB2312" w:cs="宋体" w:hAnsiTheme="minorEastAsia"/>
          <w:color w:val="000000"/>
          <w:sz w:val="32"/>
          <w:szCs w:val="32"/>
        </w:rPr>
        <w:t>推进政务</w:t>
      </w:r>
      <w:r>
        <w:rPr>
          <w:rFonts w:ascii="仿宋_GB2312" w:eastAsia="仿宋_GB2312" w:cs="宋体" w:hAnsiTheme="minorEastAsia"/>
          <w:color w:val="000000"/>
          <w:sz w:val="32"/>
          <w:szCs w:val="32"/>
        </w:rPr>
        <w:t>公开</w:t>
      </w:r>
      <w:r>
        <w:rPr>
          <w:rFonts w:hint="eastAsia" w:ascii="仿宋_GB2312" w:eastAsia="仿宋_GB2312" w:cs="宋体" w:hAnsiTheme="minorEastAsia"/>
          <w:color w:val="000000"/>
          <w:sz w:val="32"/>
          <w:szCs w:val="32"/>
        </w:rPr>
        <w:t xml:space="preserve">的新举措和新办法，不断提高政府信息公开工作的质量和水平。 </w:t>
      </w:r>
    </w:p>
    <w:p>
      <w:pPr>
        <w:adjustRightInd/>
        <w:snapToGrid/>
        <w:spacing w:after="0" w:line="360" w:lineRule="auto"/>
        <w:ind w:firstLine="640" w:firstLineChars="200"/>
        <w:rPr>
          <w:rFonts w:hint="eastAsia" w:ascii="仿宋_GB2312" w:eastAsia="仿宋_GB2312" w:cs="宋体" w:hAnsiTheme="minorEastAsia"/>
          <w:color w:val="000000"/>
          <w:sz w:val="32"/>
          <w:szCs w:val="32"/>
        </w:rPr>
      </w:pP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640" w:firstLineChars="200"/>
        <w:jc w:val="left"/>
        <w:textAlignment w:val="auto"/>
        <w:outlineLvl w:val="9"/>
        <w:rPr>
          <w:rFonts w:hint="eastAsia"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附件：《201</w:t>
      </w:r>
      <w:r>
        <w:rPr>
          <w:rFonts w:hint="eastAsia" w:ascii="仿宋_GB2312" w:eastAsia="仿宋_GB2312" w:cs="宋体" w:hAnsiTheme="minorEastAsia"/>
          <w:color w:val="000000"/>
          <w:sz w:val="32"/>
          <w:szCs w:val="32"/>
          <w:lang w:val="en-US" w:eastAsia="zh-CN"/>
        </w:rPr>
        <w:t>7</w:t>
      </w:r>
      <w:r>
        <w:rPr>
          <w:rFonts w:hint="eastAsia" w:ascii="仿宋_GB2312" w:eastAsia="仿宋_GB2312" w:cs="宋体" w:hAnsiTheme="minorEastAsia"/>
          <w:color w:val="000000"/>
          <w:sz w:val="32"/>
          <w:szCs w:val="32"/>
        </w:rPr>
        <w:t xml:space="preserve">年政府信息公开工作情况统计表》 </w:t>
      </w:r>
    </w:p>
    <w:p>
      <w:pPr>
        <w:adjustRightInd/>
        <w:snapToGrid/>
        <w:spacing w:after="0"/>
        <w:rPr>
          <w:rFonts w:hint="eastAsia" w:ascii="仿宋_GB2312" w:eastAsia="仿宋_GB2312" w:cs="宋体" w:hAnsiTheme="minorEastAsia"/>
          <w:color w:val="000000"/>
          <w:sz w:val="32"/>
          <w:szCs w:val="32"/>
        </w:rPr>
      </w:pPr>
    </w:p>
    <w:p>
      <w:pPr>
        <w:adjustRightInd/>
        <w:snapToGrid/>
        <w:spacing w:after="0"/>
        <w:rPr>
          <w:rFonts w:hint="eastAsia" w:ascii="仿宋_GB2312" w:eastAsia="仿宋_GB2312" w:cs="宋体" w:hAnsiTheme="minorEastAsia"/>
          <w:color w:val="000000"/>
          <w:sz w:val="32"/>
          <w:szCs w:val="32"/>
        </w:rPr>
      </w:pPr>
    </w:p>
    <w:p>
      <w:pPr>
        <w:adjustRightInd/>
        <w:snapToGrid/>
        <w:spacing w:after="0"/>
        <w:rPr>
          <w:rFonts w:hint="eastAsia" w:ascii="仿宋_GB2312" w:eastAsia="仿宋_GB2312" w:cs="宋体" w:hAnsiTheme="minorEastAsia"/>
          <w:color w:val="000000"/>
          <w:sz w:val="32"/>
          <w:szCs w:val="32"/>
        </w:rPr>
      </w:pPr>
    </w:p>
    <w:p>
      <w:pPr>
        <w:adjustRightInd/>
        <w:snapToGrid/>
        <w:spacing w:after="0"/>
        <w:rPr>
          <w:rFonts w:hint="eastAsia" w:ascii="仿宋_GB2312" w:eastAsia="仿宋_GB2312" w:cs="宋体" w:hAnsiTheme="minorEastAsia"/>
          <w:color w:val="000000"/>
          <w:sz w:val="32"/>
          <w:szCs w:val="32"/>
        </w:rPr>
      </w:pPr>
    </w:p>
    <w:p>
      <w:pPr>
        <w:adjustRightInd/>
        <w:snapToGrid/>
        <w:spacing w:after="0"/>
        <w:jc w:val="center"/>
        <w:rPr>
          <w:rFonts w:hint="eastAsia"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山东省商务厅</w:t>
      </w:r>
    </w:p>
    <w:p>
      <w:pPr>
        <w:adjustRightInd/>
        <w:snapToGrid/>
        <w:spacing w:after="0"/>
        <w:jc w:val="center"/>
        <w:rPr>
          <w:rFonts w:hint="eastAsia"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201</w:t>
      </w:r>
      <w:r>
        <w:rPr>
          <w:rFonts w:hint="eastAsia" w:ascii="仿宋_GB2312" w:eastAsia="仿宋_GB2312" w:cs="宋体" w:hAnsiTheme="minorEastAsia"/>
          <w:color w:val="000000"/>
          <w:sz w:val="32"/>
          <w:szCs w:val="32"/>
          <w:lang w:val="en-US" w:eastAsia="zh-CN"/>
        </w:rPr>
        <w:t>8</w:t>
      </w:r>
      <w:r>
        <w:rPr>
          <w:rFonts w:hint="eastAsia" w:ascii="仿宋_GB2312" w:eastAsia="仿宋_GB2312" w:cs="宋体" w:hAnsiTheme="minorEastAsia"/>
          <w:color w:val="000000"/>
          <w:sz w:val="32"/>
          <w:szCs w:val="32"/>
        </w:rPr>
        <w:t>年</w:t>
      </w:r>
      <w:r>
        <w:rPr>
          <w:rFonts w:hint="eastAsia" w:ascii="仿宋_GB2312" w:eastAsia="仿宋_GB2312" w:cs="宋体" w:hAnsiTheme="minorEastAsia"/>
          <w:color w:val="000000"/>
          <w:sz w:val="32"/>
          <w:szCs w:val="32"/>
          <w:lang w:val="en-US" w:eastAsia="zh-CN"/>
        </w:rPr>
        <w:t>1</w:t>
      </w:r>
      <w:r>
        <w:rPr>
          <w:rFonts w:hint="eastAsia" w:ascii="仿宋_GB2312" w:eastAsia="仿宋_GB2312" w:cs="宋体" w:hAnsiTheme="minorEastAsia"/>
          <w:color w:val="000000"/>
          <w:sz w:val="32"/>
          <w:szCs w:val="32"/>
        </w:rPr>
        <w:t>月</w:t>
      </w:r>
      <w:r>
        <w:rPr>
          <w:rFonts w:hint="eastAsia" w:ascii="仿宋_GB2312" w:eastAsia="仿宋_GB2312" w:cs="宋体" w:hAnsiTheme="minorEastAsia"/>
          <w:color w:val="000000"/>
          <w:sz w:val="32"/>
          <w:szCs w:val="32"/>
          <w:lang w:val="en-US" w:eastAsia="zh-CN"/>
        </w:rPr>
        <w:t>25</w:t>
      </w:r>
      <w:r>
        <w:rPr>
          <w:rFonts w:hint="eastAsia" w:ascii="仿宋_GB2312" w:eastAsia="仿宋_GB2312" w:cs="宋体" w:hAnsiTheme="minorEastAsia"/>
          <w:color w:val="000000"/>
          <w:sz w:val="32"/>
          <w:szCs w:val="32"/>
        </w:rPr>
        <w:t>日</w:t>
      </w:r>
    </w:p>
    <w:p>
      <w:pPr>
        <w:adjustRightInd/>
        <w:snapToGrid/>
        <w:spacing w:after="0"/>
        <w:rPr>
          <w:rFonts w:hint="eastAsia" w:ascii="仿宋_GB2312" w:hAnsi="宋体" w:eastAsia="仿宋_GB2312" w:cs="宋体"/>
          <w:sz w:val="32"/>
          <w:szCs w:val="32"/>
        </w:rPr>
      </w:pPr>
    </w:p>
    <w:p>
      <w:pPr>
        <w:adjustRightInd/>
        <w:snapToGrid/>
        <w:spacing w:after="0"/>
        <w:rPr>
          <w:rFonts w:ascii="宋体" w:hAnsi="宋体" w:eastAsia="宋体" w:cs="宋体"/>
          <w:sz w:val="24"/>
          <w:szCs w:val="24"/>
        </w:rPr>
      </w:pPr>
    </w:p>
    <w:p>
      <w:pPr>
        <w:adjustRightInd/>
        <w:snapToGrid/>
        <w:spacing w:after="0"/>
        <w:rPr>
          <w:rFonts w:ascii="宋体" w:hAnsi="宋体" w:eastAsia="宋体" w:cs="宋体"/>
          <w:sz w:val="24"/>
          <w:szCs w:val="24"/>
        </w:rPr>
      </w:pPr>
      <w:r>
        <w:rPr>
          <w:rFonts w:ascii="宋体" w:hAnsi="宋体" w:eastAsia="宋体" w:cs="宋体"/>
          <w:sz w:val="24"/>
          <w:szCs w:val="24"/>
        </w:rPr>
        <w:br w:type="page"/>
      </w:r>
    </w:p>
    <w:p>
      <w:pPr>
        <w:adjustRightInd/>
        <w:snapToGrid/>
        <w:spacing w:after="0"/>
        <w:rPr>
          <w:rFonts w:ascii="宋体" w:hAnsi="宋体" w:eastAsia="宋体" w:cs="宋体"/>
          <w:sz w:val="24"/>
          <w:szCs w:val="24"/>
        </w:rPr>
      </w:pPr>
    </w:p>
    <w:p>
      <w:pPr>
        <w:shd w:val="clear" w:color="auto" w:fill="FFFFFF"/>
        <w:adjustRightInd/>
        <w:snapToGrid/>
        <w:spacing w:before="100" w:beforeAutospacing="1" w:after="100" w:afterAutospacing="1" w:line="270" w:lineRule="atLeast"/>
        <w:jc w:val="center"/>
        <w:rPr>
          <w:rFonts w:ascii="宋体" w:hAnsi="宋体" w:eastAsia="宋体" w:cs="宋体"/>
          <w:b/>
          <w:bCs/>
          <w:color w:val="000000"/>
          <w:sz w:val="32"/>
          <w:szCs w:val="32"/>
        </w:rPr>
      </w:pPr>
      <w:r>
        <w:rPr>
          <w:rFonts w:hint="eastAsia" w:ascii="宋体" w:hAnsi="宋体" w:eastAsia="宋体" w:cs="宋体"/>
          <w:b/>
          <w:bCs/>
          <w:color w:val="000000"/>
          <w:sz w:val="32"/>
          <w:szCs w:val="32"/>
        </w:rPr>
        <w:t>201</w:t>
      </w:r>
      <w:r>
        <w:rPr>
          <w:rFonts w:hint="eastAsia" w:ascii="宋体" w:hAnsi="宋体" w:eastAsia="宋体" w:cs="宋体"/>
          <w:b/>
          <w:bCs/>
          <w:color w:val="000000"/>
          <w:sz w:val="32"/>
          <w:szCs w:val="32"/>
          <w:lang w:val="en-US" w:eastAsia="zh-CN"/>
        </w:rPr>
        <w:t>7</w:t>
      </w:r>
      <w:r>
        <w:rPr>
          <w:rFonts w:hint="eastAsia" w:ascii="宋体" w:hAnsi="宋体" w:eastAsia="宋体" w:cs="宋体"/>
          <w:b/>
          <w:bCs/>
          <w:color w:val="000000"/>
          <w:sz w:val="32"/>
          <w:szCs w:val="32"/>
        </w:rPr>
        <w:t>年度政府信息公开工作情况统计表</w:t>
      </w:r>
    </w:p>
    <w:p>
      <w:pPr>
        <w:shd w:val="clear" w:color="auto" w:fill="FFFFFF"/>
        <w:adjustRightInd/>
        <w:snapToGrid/>
        <w:spacing w:before="100" w:beforeAutospacing="1" w:after="100" w:afterAutospacing="1" w:line="270" w:lineRule="atLeast"/>
        <w:jc w:val="center"/>
        <w:rPr>
          <w:rFonts w:ascii="宋体" w:hAnsi="宋体" w:eastAsia="宋体" w:cs="宋体"/>
          <w:color w:val="000000"/>
          <w:sz w:val="18"/>
          <w:szCs w:val="18"/>
        </w:rPr>
      </w:pPr>
      <w:r>
        <w:rPr>
          <w:rFonts w:hint="eastAsia" w:ascii="宋体" w:hAnsi="宋体" w:eastAsia="宋体" w:cs="宋体"/>
          <w:b/>
          <w:bCs/>
          <w:color w:val="000000"/>
          <w:sz w:val="18"/>
          <w:szCs w:val="18"/>
        </w:rPr>
        <w:t> </w:t>
      </w:r>
    </w:p>
    <w:tbl>
      <w:tblPr>
        <w:tblStyle w:val="11"/>
        <w:tblW w:w="9450" w:type="dxa"/>
        <w:jc w:val="center"/>
        <w:tblCellSpacing w:w="0" w:type="dxa"/>
        <w:tblInd w:w="0" w:type="dxa"/>
        <w:tblLayout w:type="fixed"/>
        <w:tblCellMar>
          <w:top w:w="0" w:type="dxa"/>
          <w:left w:w="0" w:type="dxa"/>
          <w:bottom w:w="0" w:type="dxa"/>
          <w:right w:w="0" w:type="dxa"/>
        </w:tblCellMar>
      </w:tblPr>
      <w:tblGrid>
        <w:gridCol w:w="7575"/>
        <w:gridCol w:w="1020"/>
        <w:gridCol w:w="855"/>
      </w:tblGrid>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685"/>
              <w:jc w:val="center"/>
              <w:rPr>
                <w:rFonts w:ascii="宋体" w:hAnsi="宋体" w:eastAsia="宋体" w:cs="宋体"/>
                <w:sz w:val="24"/>
                <w:szCs w:val="24"/>
              </w:rPr>
            </w:pPr>
            <w:r>
              <w:rPr>
                <w:rFonts w:hint="eastAsia" w:ascii="宋体" w:hAnsi="宋体" w:eastAsia="宋体" w:cs="宋体"/>
                <w:b/>
                <w:bCs/>
                <w:sz w:val="20"/>
              </w:rPr>
              <w:t>统　计　指　标</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0"/>
              </w:rPr>
              <w:t>单位</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b/>
                <w:bCs/>
                <w:sz w:val="20"/>
              </w:rPr>
              <w:t>统计数</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rPr>
                <w:rFonts w:ascii="宋体" w:hAnsi="宋体" w:eastAsia="宋体" w:cs="宋体"/>
                <w:sz w:val="24"/>
                <w:szCs w:val="24"/>
              </w:rPr>
            </w:pPr>
            <w:r>
              <w:rPr>
                <w:rFonts w:hint="eastAsia" w:ascii="黑体" w:hAnsi="黑体" w:eastAsia="黑体" w:cs="宋体"/>
                <w:sz w:val="20"/>
                <w:szCs w:val="20"/>
              </w:rPr>
              <w:t>一、主动公开情况</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 </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after="0"/>
              <w:rPr>
                <w:rFonts w:ascii="宋体" w:hAnsi="宋体" w:eastAsia="宋体" w:cs="宋体"/>
                <w:sz w:val="24"/>
                <w:szCs w:val="24"/>
              </w:rPr>
            </w:pP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ascii="宋体" w:hAnsi="宋体" w:eastAsia="宋体" w:cs="宋体"/>
                <w:sz w:val="20"/>
                <w:szCs w:val="20"/>
              </w:rPr>
              <w:t>（一）主动公开政府信息数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条</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4188</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其中：主动公开规范性文件数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条</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4</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1400" w:firstLineChars="700"/>
              <w:rPr>
                <w:rFonts w:ascii="宋体" w:hAnsi="宋体" w:eastAsia="宋体" w:cs="宋体"/>
                <w:sz w:val="24"/>
                <w:szCs w:val="24"/>
              </w:rPr>
            </w:pPr>
            <w:r>
              <w:rPr>
                <w:rFonts w:ascii="宋体" w:hAnsi="宋体" w:eastAsia="宋体" w:cs="宋体"/>
                <w:sz w:val="20"/>
                <w:szCs w:val="20"/>
              </w:rPr>
              <w:t>制发规范性文件总数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ascii="宋体" w:hAnsi="宋体" w:eastAsia="宋体" w:cs="宋体"/>
                <w:sz w:val="20"/>
                <w:szCs w:val="20"/>
              </w:rPr>
              <w:t>（二）通过不同渠道和方式公开政府信息的情况</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 </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 </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b w:val="0"/>
                <w:bCs w:val="0"/>
                <w:color w:val="auto"/>
                <w:sz w:val="24"/>
                <w:szCs w:val="24"/>
              </w:rPr>
            </w:pPr>
            <w:r>
              <w:rPr>
                <w:rFonts w:ascii="宋体" w:hAnsi="宋体" w:eastAsia="宋体" w:cs="宋体"/>
                <w:b w:val="0"/>
                <w:bCs w:val="0"/>
                <w:color w:val="auto"/>
                <w:sz w:val="20"/>
                <w:szCs w:val="20"/>
              </w:rPr>
              <w:t>1.政府公报公开政府信息数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b w:val="0"/>
                <w:bCs w:val="0"/>
                <w:color w:val="auto"/>
                <w:sz w:val="24"/>
                <w:szCs w:val="24"/>
              </w:rPr>
            </w:pPr>
            <w:r>
              <w:rPr>
                <w:rFonts w:ascii="宋体" w:hAnsi="宋体" w:eastAsia="宋体" w:cs="宋体"/>
                <w:b w:val="0"/>
                <w:bCs w:val="0"/>
                <w:color w:val="auto"/>
                <w:sz w:val="20"/>
                <w:szCs w:val="20"/>
              </w:rPr>
              <w:t>条</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0"/>
                <w:szCs w:val="20"/>
                <w:lang w:val="en-US" w:eastAsia="zh-CN"/>
              </w:rPr>
              <w:t>4</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2.政府网站公开政府信息数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条</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3689</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3.政务微博公开政府信息数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条</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1190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4.政务微信公开政府信息数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条</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1190</w:t>
            </w:r>
          </w:p>
        </w:tc>
      </w:tr>
      <w:tr>
        <w:tblPrEx>
          <w:tblLayout w:type="fixed"/>
          <w:tblCellMar>
            <w:top w:w="0" w:type="dxa"/>
            <w:left w:w="0" w:type="dxa"/>
            <w:bottom w:w="0" w:type="dxa"/>
            <w:right w:w="0" w:type="dxa"/>
          </w:tblCellMar>
        </w:tblPrEx>
        <w:trPr>
          <w:trHeight w:val="274" w:hRule="atLeast"/>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5.其他方式公开政府信息数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条</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495</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rPr>
                <w:rFonts w:ascii="宋体" w:hAnsi="宋体" w:eastAsia="宋体" w:cs="宋体"/>
                <w:sz w:val="24"/>
                <w:szCs w:val="24"/>
              </w:rPr>
            </w:pPr>
            <w:r>
              <w:rPr>
                <w:rFonts w:hint="eastAsia" w:ascii="黑体" w:hAnsi="黑体" w:eastAsia="黑体" w:cs="宋体"/>
                <w:sz w:val="20"/>
                <w:szCs w:val="20"/>
              </w:rPr>
              <w:t>二、回应解读情况</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685"/>
              <w:jc w:val="center"/>
              <w:rPr>
                <w:rFonts w:ascii="宋体" w:hAnsi="宋体" w:eastAsia="宋体" w:cs="宋体"/>
                <w:sz w:val="24"/>
                <w:szCs w:val="24"/>
              </w:rPr>
            </w:pPr>
            <w:r>
              <w:rPr>
                <w:rFonts w:ascii="宋体" w:hAnsi="宋体" w:eastAsia="宋体" w:cs="宋体"/>
                <w:sz w:val="24"/>
                <w:szCs w:val="24"/>
              </w:rPr>
              <w:t> </w:t>
            </w:r>
          </w:p>
        </w:tc>
        <w:tc>
          <w:tcPr>
            <w:tcW w:w="855" w:type="dxa"/>
            <w:tcBorders>
              <w:top w:val="nil"/>
              <w:left w:val="nil"/>
              <w:bottom w:val="nil"/>
              <w:right w:val="nil"/>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 </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ascii="宋体" w:hAnsi="宋体" w:eastAsia="宋体" w:cs="宋体"/>
                <w:sz w:val="20"/>
                <w:szCs w:val="20"/>
              </w:rPr>
              <w:t>（一）回应公众关注热点或重大舆情数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次</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1</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ascii="宋体" w:hAnsi="宋体" w:eastAsia="宋体" w:cs="宋体"/>
                <w:sz w:val="20"/>
                <w:szCs w:val="20"/>
              </w:rPr>
              <w:t>（二）通过不同渠道和方式回应解读的情况</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 </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 </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1.参加或举办新闻发布会总次数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次</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1000" w:firstLineChars="500"/>
              <w:rPr>
                <w:rFonts w:ascii="宋体" w:hAnsi="宋体" w:eastAsia="宋体" w:cs="宋体"/>
                <w:sz w:val="24"/>
                <w:szCs w:val="24"/>
              </w:rPr>
            </w:pPr>
            <w:r>
              <w:rPr>
                <w:rFonts w:ascii="宋体" w:hAnsi="宋体" w:eastAsia="宋体" w:cs="宋体"/>
                <w:sz w:val="20"/>
                <w:szCs w:val="20"/>
              </w:rPr>
              <w:t>其中：主要负责同志参加新闻发布会次数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次</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2.政府网站在线访谈次数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次</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30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1000" w:firstLineChars="500"/>
              <w:rPr>
                <w:rFonts w:ascii="宋体" w:hAnsi="宋体" w:eastAsia="宋体" w:cs="宋体"/>
                <w:sz w:val="24"/>
                <w:szCs w:val="24"/>
              </w:rPr>
            </w:pPr>
            <w:r>
              <w:rPr>
                <w:rFonts w:ascii="宋体" w:hAnsi="宋体" w:eastAsia="宋体" w:cs="宋体"/>
                <w:sz w:val="20"/>
                <w:szCs w:val="20"/>
              </w:rPr>
              <w:t>其中：主要负责同志参加政府网站在线访谈次数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次</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1</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3.政策解读稿件发布数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篇</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12</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4.微博微信回应事件数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次</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1</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5.其他方式回应事件数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次</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1</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rPr>
                <w:rFonts w:ascii="宋体" w:hAnsi="宋体" w:eastAsia="宋体" w:cs="宋体"/>
                <w:sz w:val="24"/>
                <w:szCs w:val="24"/>
              </w:rPr>
            </w:pPr>
            <w:r>
              <w:rPr>
                <w:rFonts w:hint="eastAsia" w:ascii="黑体" w:hAnsi="黑体" w:eastAsia="黑体" w:cs="宋体"/>
                <w:sz w:val="20"/>
                <w:szCs w:val="20"/>
              </w:rPr>
              <w:t>三、依申请公开情况</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685"/>
              <w:jc w:val="center"/>
              <w:rPr>
                <w:rFonts w:ascii="宋体" w:hAnsi="宋体" w:eastAsia="宋体" w:cs="宋体"/>
                <w:sz w:val="24"/>
                <w:szCs w:val="24"/>
              </w:rPr>
            </w:pPr>
            <w:r>
              <w:rPr>
                <w:rFonts w:ascii="宋体" w:hAnsi="宋体" w:eastAsia="宋体" w:cs="宋体"/>
                <w:sz w:val="24"/>
                <w:szCs w:val="24"/>
              </w:rPr>
              <w:t> </w:t>
            </w:r>
          </w:p>
        </w:tc>
        <w:tc>
          <w:tcPr>
            <w:tcW w:w="855" w:type="dxa"/>
            <w:tcBorders>
              <w:top w:val="nil"/>
              <w:left w:val="nil"/>
              <w:bottom w:val="nil"/>
              <w:right w:val="nil"/>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 </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ascii="宋体" w:hAnsi="宋体" w:eastAsia="宋体" w:cs="宋体"/>
                <w:sz w:val="20"/>
                <w:szCs w:val="20"/>
              </w:rPr>
              <w:t>（一）收到申请数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107</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1.当面申请数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1</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2.传真申请数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3.网络申请数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100</w:t>
            </w:r>
          </w:p>
        </w:tc>
      </w:tr>
      <w:tr>
        <w:tblPrEx>
          <w:tblLayout w:type="fixed"/>
          <w:tblCellMar>
            <w:top w:w="0" w:type="dxa"/>
            <w:left w:w="0" w:type="dxa"/>
            <w:bottom w:w="0" w:type="dxa"/>
            <w:right w:w="0" w:type="dxa"/>
          </w:tblCellMar>
        </w:tblPrEx>
        <w:trPr>
          <w:tblCellSpacing w:w="0" w:type="dxa"/>
          <w:jc w:val="center"/>
        </w:trPr>
        <w:tc>
          <w:tcPr>
            <w:tcW w:w="7575"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4.信函申请数</w:t>
            </w:r>
          </w:p>
        </w:tc>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6</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0"/>
                <w:szCs w:val="20"/>
              </w:rPr>
              <w:t>   </w:t>
            </w:r>
            <w:r>
              <w:rPr>
                <w:rFonts w:hint="eastAsia" w:ascii="宋体" w:hAnsi="宋体" w:eastAsia="宋体" w:cs="宋体"/>
                <w:sz w:val="20"/>
                <w:szCs w:val="20"/>
              </w:rPr>
              <w:t xml:space="preserve">  </w:t>
            </w:r>
            <w:r>
              <w:rPr>
                <w:rFonts w:ascii="宋体" w:hAnsi="宋体" w:eastAsia="宋体" w:cs="宋体"/>
                <w:sz w:val="20"/>
                <w:szCs w:val="20"/>
              </w:rPr>
              <w:t>5.其他形式</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ascii="宋体" w:hAnsi="宋体" w:eastAsia="宋体" w:cs="宋体"/>
                <w:sz w:val="20"/>
                <w:szCs w:val="20"/>
              </w:rPr>
              <w:t>（二）申请办结数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107</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1.按时办结数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107</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2.延期办结数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ascii="宋体" w:hAnsi="宋体" w:eastAsia="宋体" w:cs="宋体"/>
                <w:sz w:val="20"/>
                <w:szCs w:val="20"/>
              </w:rPr>
              <w:t>（三）申请答复数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107</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1.属于已主动公开范围数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1</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2.同意公开答复数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3</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3.同意部分公开答复数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4.不同意公开答复数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1000" w:firstLineChars="500"/>
              <w:rPr>
                <w:rFonts w:ascii="宋体" w:hAnsi="宋体" w:eastAsia="宋体" w:cs="宋体"/>
                <w:sz w:val="24"/>
                <w:szCs w:val="24"/>
              </w:rPr>
            </w:pPr>
            <w:r>
              <w:rPr>
                <w:rFonts w:ascii="宋体" w:hAnsi="宋体" w:eastAsia="宋体" w:cs="宋体"/>
                <w:sz w:val="20"/>
                <w:szCs w:val="20"/>
              </w:rPr>
              <w:t>其中：涉及国家秘密</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1600" w:firstLineChars="800"/>
              <w:rPr>
                <w:rFonts w:ascii="宋体" w:hAnsi="宋体" w:eastAsia="宋体" w:cs="宋体"/>
                <w:sz w:val="24"/>
                <w:szCs w:val="24"/>
              </w:rPr>
            </w:pPr>
            <w:r>
              <w:rPr>
                <w:rFonts w:ascii="宋体" w:hAnsi="宋体" w:eastAsia="宋体" w:cs="宋体"/>
                <w:sz w:val="20"/>
                <w:szCs w:val="20"/>
              </w:rPr>
              <w:t>涉及商业秘密</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1600" w:firstLineChars="800"/>
              <w:rPr>
                <w:rFonts w:ascii="宋体" w:hAnsi="宋体" w:eastAsia="宋体" w:cs="宋体"/>
                <w:sz w:val="24"/>
                <w:szCs w:val="24"/>
              </w:rPr>
            </w:pPr>
            <w:r>
              <w:rPr>
                <w:rFonts w:ascii="宋体" w:hAnsi="宋体" w:eastAsia="宋体" w:cs="宋体"/>
                <w:sz w:val="20"/>
                <w:szCs w:val="20"/>
              </w:rPr>
              <w:t>涉及个人隐私</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1600" w:firstLineChars="800"/>
              <w:rPr>
                <w:rFonts w:ascii="宋体" w:hAnsi="宋体" w:eastAsia="宋体" w:cs="宋体"/>
                <w:sz w:val="24"/>
                <w:szCs w:val="24"/>
              </w:rPr>
            </w:pPr>
            <w:r>
              <w:rPr>
                <w:rFonts w:ascii="宋体" w:hAnsi="宋体" w:eastAsia="宋体" w:cs="宋体"/>
                <w:sz w:val="20"/>
                <w:szCs w:val="20"/>
              </w:rPr>
              <w:t>危及国家安全、公共安全、经济安全和社会稳定</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1600" w:firstLineChars="800"/>
              <w:rPr>
                <w:rFonts w:ascii="宋体" w:hAnsi="宋体" w:eastAsia="宋体" w:cs="宋体"/>
                <w:sz w:val="24"/>
                <w:szCs w:val="24"/>
              </w:rPr>
            </w:pPr>
            <w:r>
              <w:rPr>
                <w:rFonts w:ascii="宋体" w:hAnsi="宋体" w:eastAsia="宋体" w:cs="宋体"/>
                <w:sz w:val="20"/>
                <w:szCs w:val="20"/>
              </w:rPr>
              <w:t>不是《条例》所指政府信息</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1600" w:firstLineChars="800"/>
              <w:rPr>
                <w:rFonts w:ascii="宋体" w:hAnsi="宋体" w:eastAsia="宋体" w:cs="宋体"/>
                <w:sz w:val="24"/>
                <w:szCs w:val="24"/>
              </w:rPr>
            </w:pPr>
            <w:r>
              <w:rPr>
                <w:rFonts w:ascii="宋体" w:hAnsi="宋体" w:eastAsia="宋体" w:cs="宋体"/>
                <w:sz w:val="20"/>
                <w:szCs w:val="20"/>
              </w:rPr>
              <w:t>法律法规规定的其他情形</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5.不属于本行政机关公开数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101</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6.申请信息不存在数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7.告知作出更改补充数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8.告知通过其他途径办理数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2</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rPr>
                <w:rFonts w:ascii="宋体" w:hAnsi="宋体" w:eastAsia="宋体" w:cs="宋体"/>
                <w:sz w:val="24"/>
                <w:szCs w:val="24"/>
              </w:rPr>
            </w:pPr>
            <w:r>
              <w:rPr>
                <w:rFonts w:hint="eastAsia" w:ascii="黑体" w:hAnsi="黑体" w:eastAsia="黑体" w:cs="宋体"/>
                <w:sz w:val="20"/>
                <w:szCs w:val="20"/>
              </w:rPr>
              <w:t>四、行政复议数量</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1</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ascii="宋体" w:hAnsi="宋体" w:eastAsia="宋体" w:cs="宋体"/>
                <w:sz w:val="20"/>
                <w:szCs w:val="20"/>
              </w:rPr>
              <w:t>（一）维持具体行政行为数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1</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ascii="宋体" w:hAnsi="宋体" w:eastAsia="宋体" w:cs="宋体"/>
                <w:sz w:val="20"/>
                <w:szCs w:val="20"/>
              </w:rPr>
              <w:t>（二）被依法纠错数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ascii="宋体" w:hAnsi="宋体" w:eastAsia="宋体" w:cs="宋体"/>
                <w:sz w:val="20"/>
                <w:szCs w:val="20"/>
              </w:rPr>
              <w:t>（三）其他情形数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rPr>
                <w:rFonts w:ascii="宋体" w:hAnsi="宋体" w:eastAsia="宋体" w:cs="宋体"/>
                <w:sz w:val="24"/>
                <w:szCs w:val="24"/>
              </w:rPr>
            </w:pPr>
            <w:r>
              <w:rPr>
                <w:rFonts w:hint="eastAsia" w:ascii="黑体" w:hAnsi="黑体" w:eastAsia="黑体" w:cs="宋体"/>
                <w:sz w:val="20"/>
                <w:szCs w:val="20"/>
              </w:rPr>
              <w:t>五、行政诉讼数量</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ascii="宋体" w:hAnsi="宋体" w:eastAsia="宋体" w:cs="宋体"/>
                <w:sz w:val="20"/>
                <w:szCs w:val="20"/>
              </w:rPr>
              <w:t>（一）维持具体行政行为或者驳回原告诉讼请求数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ascii="宋体" w:hAnsi="宋体" w:eastAsia="宋体" w:cs="宋体"/>
                <w:sz w:val="20"/>
                <w:szCs w:val="20"/>
              </w:rPr>
              <w:t>（二）被依法纠错数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ascii="宋体" w:hAnsi="宋体" w:eastAsia="宋体" w:cs="宋体"/>
                <w:sz w:val="20"/>
                <w:szCs w:val="20"/>
              </w:rPr>
              <w:t>（三）其他情形数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rPr>
                <w:rFonts w:ascii="宋体" w:hAnsi="宋体" w:eastAsia="宋体" w:cs="宋体"/>
                <w:sz w:val="24"/>
                <w:szCs w:val="24"/>
              </w:rPr>
            </w:pPr>
            <w:r>
              <w:rPr>
                <w:rFonts w:hint="eastAsia" w:ascii="黑体" w:hAnsi="黑体" w:eastAsia="黑体" w:cs="宋体"/>
                <w:sz w:val="20"/>
                <w:szCs w:val="20"/>
              </w:rPr>
              <w:t>六、被举报投诉数量</w:t>
            </w:r>
          </w:p>
        </w:tc>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ascii="宋体" w:hAnsi="宋体" w:eastAsia="宋体" w:cs="宋体"/>
                <w:sz w:val="20"/>
                <w:szCs w:val="20"/>
              </w:rPr>
              <w:t>（一）维持具体行政行为数</w:t>
            </w:r>
          </w:p>
        </w:tc>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ascii="宋体" w:hAnsi="宋体" w:eastAsia="宋体" w:cs="宋体"/>
                <w:sz w:val="20"/>
                <w:szCs w:val="20"/>
              </w:rPr>
              <w:t>（二）被纠错数</w:t>
            </w:r>
          </w:p>
        </w:tc>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ascii="宋体" w:hAnsi="宋体" w:eastAsia="宋体" w:cs="宋体"/>
                <w:sz w:val="20"/>
                <w:szCs w:val="20"/>
              </w:rPr>
              <w:t>（三）其他情形数</w:t>
            </w:r>
          </w:p>
        </w:tc>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件</w:t>
            </w:r>
          </w:p>
        </w:tc>
        <w:tc>
          <w:tcPr>
            <w:tcW w:w="855"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0"/>
                <w:szCs w:val="20"/>
              </w:rPr>
              <w:t>七、向图书馆、档案馆等查阅场所报送信息</w:t>
            </w:r>
            <w:r>
              <w:rPr>
                <w:rFonts w:hint="eastAsia" w:ascii="宋体" w:hAnsi="宋体" w:eastAsia="宋体" w:cs="宋体"/>
                <w:sz w:val="20"/>
                <w:szCs w:val="20"/>
              </w:rPr>
              <w:t>数</w:t>
            </w:r>
          </w:p>
        </w:tc>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条</w:t>
            </w:r>
          </w:p>
        </w:tc>
        <w:tc>
          <w:tcPr>
            <w:tcW w:w="855"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433</w:t>
            </w:r>
          </w:p>
        </w:tc>
      </w:tr>
      <w:tr>
        <w:tblPrEx>
          <w:tblLayout w:type="fixed"/>
          <w:tblCellMar>
            <w:top w:w="0" w:type="dxa"/>
            <w:left w:w="0" w:type="dxa"/>
            <w:bottom w:w="0" w:type="dxa"/>
            <w:right w:w="0" w:type="dxa"/>
          </w:tblCellMar>
        </w:tblPrEx>
        <w:trPr>
          <w:tblCellSpacing w:w="0" w:type="dxa"/>
          <w:jc w:val="center"/>
        </w:trPr>
        <w:tc>
          <w:tcPr>
            <w:tcW w:w="7575"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hint="eastAsia" w:ascii="宋体" w:hAnsi="宋体" w:eastAsia="宋体" w:cs="宋体"/>
                <w:sz w:val="20"/>
                <w:szCs w:val="20"/>
              </w:rPr>
              <w:t>（</w:t>
            </w:r>
            <w:r>
              <w:rPr>
                <w:rFonts w:ascii="宋体" w:hAnsi="宋体" w:eastAsia="宋体" w:cs="宋体"/>
                <w:sz w:val="20"/>
                <w:szCs w:val="20"/>
              </w:rPr>
              <w:t>一）纸质文件数</w:t>
            </w:r>
          </w:p>
        </w:tc>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条</w:t>
            </w:r>
          </w:p>
        </w:tc>
        <w:tc>
          <w:tcPr>
            <w:tcW w:w="855"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433</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ascii="宋体" w:hAnsi="宋体" w:eastAsia="宋体" w:cs="宋体"/>
                <w:sz w:val="20"/>
                <w:szCs w:val="20"/>
              </w:rPr>
              <w:t>（二）电子文件数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条</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rPr>
                <w:rFonts w:ascii="宋体" w:hAnsi="宋体" w:eastAsia="宋体" w:cs="宋体"/>
                <w:sz w:val="24"/>
                <w:szCs w:val="24"/>
              </w:rPr>
            </w:pPr>
            <w:r>
              <w:rPr>
                <w:rFonts w:hint="eastAsia" w:ascii="黑体" w:hAnsi="黑体" w:eastAsia="黑体" w:cs="宋体"/>
                <w:sz w:val="20"/>
                <w:szCs w:val="20"/>
              </w:rPr>
              <w:t>八、依申请公开信息收取的费用</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万元</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rPr>
                <w:rFonts w:ascii="宋体" w:hAnsi="宋体" w:eastAsia="宋体" w:cs="宋体"/>
                <w:sz w:val="24"/>
                <w:szCs w:val="24"/>
              </w:rPr>
            </w:pPr>
            <w:r>
              <w:rPr>
                <w:rFonts w:hint="eastAsia" w:ascii="黑体" w:hAnsi="黑体" w:eastAsia="黑体" w:cs="宋体"/>
                <w:sz w:val="20"/>
                <w:szCs w:val="20"/>
              </w:rPr>
              <w:t>九、机构建设和保障经费情况</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 </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 </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ascii="宋体" w:hAnsi="宋体" w:eastAsia="宋体" w:cs="宋体"/>
                <w:sz w:val="20"/>
                <w:szCs w:val="20"/>
              </w:rPr>
              <w:t>（一）政府信息公开工作专门机构数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个</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ascii="宋体" w:hAnsi="宋体" w:eastAsia="宋体" w:cs="宋体"/>
                <w:sz w:val="20"/>
                <w:szCs w:val="20"/>
              </w:rPr>
              <w:t>（二）设置政府信息公开查阅点数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个</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1</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ascii="宋体" w:hAnsi="宋体" w:eastAsia="宋体" w:cs="宋体"/>
                <w:sz w:val="20"/>
                <w:szCs w:val="20"/>
              </w:rPr>
              <w:t>（三）从事政府信息公开工作人员数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人</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2</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1.专职人员数（不包括政府公报及政府网站工作人员数）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人</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hint="eastAsia"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800" w:firstLineChars="400"/>
              <w:rPr>
                <w:rFonts w:ascii="宋体" w:hAnsi="宋体" w:eastAsia="宋体" w:cs="宋体"/>
                <w:sz w:val="24"/>
                <w:szCs w:val="24"/>
              </w:rPr>
            </w:pPr>
            <w:r>
              <w:rPr>
                <w:rFonts w:ascii="宋体" w:hAnsi="宋体" w:eastAsia="宋体" w:cs="宋体"/>
                <w:sz w:val="20"/>
                <w:szCs w:val="20"/>
              </w:rPr>
              <w:t>2.兼职人员数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人</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2</w:t>
            </w:r>
          </w:p>
        </w:tc>
      </w:tr>
      <w:tr>
        <w:tblPrEx>
          <w:tblLayout w:type="fixed"/>
          <w:tblCellMar>
            <w:top w:w="0" w:type="dxa"/>
            <w:left w:w="0" w:type="dxa"/>
            <w:bottom w:w="0" w:type="dxa"/>
            <w:right w:w="0" w:type="dxa"/>
          </w:tblCellMar>
        </w:tblPrEx>
        <w:trPr>
          <w:tblCellSpacing w:w="0" w:type="dxa"/>
          <w:jc w:val="center"/>
        </w:trPr>
        <w:tc>
          <w:tcPr>
            <w:tcW w:w="7575"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sz w:val="24"/>
                <w:szCs w:val="24"/>
              </w:rPr>
            </w:pPr>
            <w:r>
              <w:rPr>
                <w:rFonts w:ascii="宋体" w:hAnsi="宋体" w:eastAsia="宋体" w:cs="宋体"/>
                <w:sz w:val="20"/>
                <w:szCs w:val="20"/>
              </w:rPr>
              <w:t>（四）政府信息公开专项经费（不包括用于政府公报编辑管理及政府网站建设维</w:t>
            </w:r>
            <w:r>
              <w:rPr>
                <w:rFonts w:ascii="宋体" w:hAnsi="宋体" w:eastAsia="宋体" w:cs="宋体"/>
                <w:sz w:val="20"/>
                <w:szCs w:val="20"/>
              </w:rPr>
              <w:br w:type="textWrapping"/>
            </w:r>
            <w:r>
              <w:rPr>
                <w:rFonts w:ascii="宋体" w:hAnsi="宋体" w:eastAsia="宋体" w:cs="宋体"/>
                <w:sz w:val="20"/>
                <w:szCs w:val="20"/>
              </w:rPr>
              <w:t>护等方面的经费）</w:t>
            </w:r>
          </w:p>
        </w:tc>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万元</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0</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rPr>
                <w:rFonts w:ascii="宋体" w:hAnsi="宋体" w:eastAsia="宋体" w:cs="宋体"/>
                <w:sz w:val="24"/>
                <w:szCs w:val="24"/>
              </w:rPr>
            </w:pPr>
            <w:r>
              <w:rPr>
                <w:rFonts w:hint="eastAsia" w:ascii="黑体" w:hAnsi="黑体" w:eastAsia="黑体" w:cs="宋体"/>
                <w:sz w:val="20"/>
                <w:szCs w:val="20"/>
              </w:rPr>
              <w:t>十、政府信息公开会议和培训情况</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 </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0"/>
                <w:szCs w:val="20"/>
              </w:rPr>
              <w:t> </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color w:val="auto"/>
                <w:sz w:val="24"/>
                <w:szCs w:val="24"/>
              </w:rPr>
            </w:pPr>
            <w:r>
              <w:rPr>
                <w:rFonts w:ascii="宋体" w:hAnsi="宋体" w:eastAsia="宋体" w:cs="宋体"/>
                <w:color w:val="auto"/>
                <w:sz w:val="20"/>
                <w:szCs w:val="20"/>
              </w:rPr>
              <w:t>（一）召开政府信息公开工作会议或专题会议数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color w:val="auto"/>
                <w:sz w:val="24"/>
                <w:szCs w:val="24"/>
              </w:rPr>
            </w:pPr>
            <w:r>
              <w:rPr>
                <w:rFonts w:ascii="宋体" w:hAnsi="宋体" w:eastAsia="宋体" w:cs="宋体"/>
                <w:color w:val="auto"/>
                <w:sz w:val="20"/>
                <w:szCs w:val="20"/>
              </w:rPr>
              <w:t>次</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color w:val="auto"/>
                <w:sz w:val="24"/>
                <w:szCs w:val="24"/>
                <w:lang w:eastAsia="zh-CN"/>
              </w:rPr>
            </w:pPr>
            <w:r>
              <w:rPr>
                <w:rFonts w:hint="eastAsia" w:ascii="宋体" w:hAnsi="宋体" w:eastAsia="宋体" w:cs="宋体"/>
                <w:color w:val="auto"/>
                <w:sz w:val="20"/>
                <w:szCs w:val="20"/>
                <w:lang w:val="en-US" w:eastAsia="zh-CN"/>
              </w:rPr>
              <w:t>1</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color w:val="auto"/>
                <w:sz w:val="24"/>
                <w:szCs w:val="24"/>
              </w:rPr>
            </w:pPr>
            <w:r>
              <w:rPr>
                <w:rFonts w:ascii="宋体" w:hAnsi="宋体" w:eastAsia="宋体" w:cs="宋体"/>
                <w:color w:val="auto"/>
                <w:sz w:val="20"/>
                <w:szCs w:val="20"/>
              </w:rPr>
              <w:t>（二）举办各类培训班数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color w:val="auto"/>
                <w:sz w:val="24"/>
                <w:szCs w:val="24"/>
              </w:rPr>
            </w:pPr>
            <w:r>
              <w:rPr>
                <w:rFonts w:ascii="宋体" w:hAnsi="宋体" w:eastAsia="宋体" w:cs="宋体"/>
                <w:color w:val="auto"/>
                <w:sz w:val="20"/>
                <w:szCs w:val="20"/>
              </w:rPr>
              <w:t>次</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color w:val="auto"/>
                <w:sz w:val="24"/>
                <w:szCs w:val="24"/>
                <w:lang w:eastAsia="zh-CN"/>
              </w:rPr>
            </w:pPr>
            <w:r>
              <w:rPr>
                <w:rFonts w:hint="eastAsia" w:ascii="宋体" w:hAnsi="宋体" w:eastAsia="宋体" w:cs="宋体"/>
                <w:color w:val="auto"/>
                <w:sz w:val="20"/>
                <w:szCs w:val="20"/>
                <w:lang w:val="en-US" w:eastAsia="zh-CN"/>
              </w:rPr>
              <w:t>1</w:t>
            </w:r>
          </w:p>
        </w:tc>
      </w:tr>
      <w:tr>
        <w:tblPrEx>
          <w:tblLayout w:type="fixed"/>
          <w:tblCellMar>
            <w:top w:w="0" w:type="dxa"/>
            <w:left w:w="0" w:type="dxa"/>
            <w:bottom w:w="0" w:type="dxa"/>
            <w:right w:w="0" w:type="dxa"/>
          </w:tblCellMar>
        </w:tblPrEx>
        <w:trPr>
          <w:tblCellSpacing w:w="0" w:type="dxa"/>
          <w:jc w:val="center"/>
        </w:trPr>
        <w:tc>
          <w:tcPr>
            <w:tcW w:w="75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ind w:firstLine="200" w:firstLineChars="100"/>
              <w:rPr>
                <w:rFonts w:ascii="宋体" w:hAnsi="宋体" w:eastAsia="宋体" w:cs="宋体"/>
                <w:color w:val="auto"/>
                <w:sz w:val="24"/>
                <w:szCs w:val="24"/>
              </w:rPr>
            </w:pPr>
            <w:r>
              <w:rPr>
                <w:rFonts w:ascii="宋体" w:hAnsi="宋体" w:eastAsia="宋体" w:cs="宋体"/>
                <w:color w:val="auto"/>
                <w:sz w:val="20"/>
                <w:szCs w:val="20"/>
              </w:rPr>
              <w:t>（三）接受培训人员数</w:t>
            </w:r>
          </w:p>
        </w:tc>
        <w:tc>
          <w:tcPr>
            <w:tcW w:w="1020"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ascii="宋体" w:hAnsi="宋体" w:eastAsia="宋体" w:cs="宋体"/>
                <w:color w:val="auto"/>
                <w:sz w:val="24"/>
                <w:szCs w:val="24"/>
              </w:rPr>
            </w:pPr>
            <w:r>
              <w:rPr>
                <w:rFonts w:ascii="宋体" w:hAnsi="宋体" w:eastAsia="宋体" w:cs="宋体"/>
                <w:color w:val="auto"/>
                <w:sz w:val="20"/>
                <w:szCs w:val="20"/>
              </w:rPr>
              <w:t>人次</w:t>
            </w:r>
          </w:p>
        </w:tc>
        <w:tc>
          <w:tcPr>
            <w:tcW w:w="85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snapToGrid/>
              <w:spacing w:before="100" w:beforeAutospacing="1" w:after="100" w:afterAutospacing="1"/>
              <w:jc w:val="center"/>
              <w:rPr>
                <w:rFonts w:hint="eastAsia" w:ascii="宋体" w:hAnsi="宋体" w:eastAsia="宋体" w:cs="宋体"/>
                <w:color w:val="auto"/>
                <w:sz w:val="24"/>
                <w:szCs w:val="24"/>
                <w:lang w:eastAsia="zh-CN"/>
              </w:rPr>
            </w:pPr>
            <w:r>
              <w:rPr>
                <w:rFonts w:hint="eastAsia" w:ascii="宋体" w:hAnsi="宋体" w:eastAsia="宋体" w:cs="宋体"/>
                <w:color w:val="auto"/>
                <w:sz w:val="20"/>
                <w:szCs w:val="20"/>
                <w:lang w:val="en-US" w:eastAsia="zh-CN"/>
              </w:rPr>
              <w:t>110</w:t>
            </w:r>
          </w:p>
        </w:tc>
      </w:tr>
    </w:tbl>
    <w:p>
      <w:pPr>
        <w:shd w:val="clear" w:color="auto" w:fill="FFFFFF"/>
        <w:adjustRightInd/>
        <w:snapToGrid/>
        <w:spacing w:before="100" w:beforeAutospacing="1" w:after="100" w:afterAutospacing="1" w:line="270" w:lineRule="atLeast"/>
        <w:rPr>
          <w:rFonts w:ascii="宋体" w:hAnsi="宋体" w:eastAsia="宋体" w:cs="宋体"/>
          <w:color w:val="000000"/>
          <w:sz w:val="18"/>
          <w:szCs w:val="18"/>
        </w:rPr>
      </w:pPr>
      <w:r>
        <w:rPr>
          <w:rFonts w:hint="eastAsia" w:ascii="宋体" w:hAnsi="宋体" w:eastAsia="宋体" w:cs="宋体"/>
          <w:color w:val="000000"/>
          <w:sz w:val="18"/>
          <w:szCs w:val="18"/>
        </w:rPr>
        <w:t>（注：各子栏目数总数要等于总栏目数量）</w:t>
      </w:r>
    </w:p>
    <w:p>
      <w:pPr>
        <w:spacing w:line="220" w:lineRule="atLeast"/>
      </w:pPr>
    </w:p>
    <w:sectPr>
      <w:pgSz w:w="11906" w:h="16838"/>
      <w:pgMar w:top="1780" w:right="1633" w:bottom="1667" w:left="1633"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9A534"/>
    <w:multiLevelType w:val="singleLevel"/>
    <w:tmpl w:val="5A69A534"/>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66A02"/>
    <w:rsid w:val="001E67B5"/>
    <w:rsid w:val="00204103"/>
    <w:rsid w:val="002C2601"/>
    <w:rsid w:val="00323B43"/>
    <w:rsid w:val="003412B1"/>
    <w:rsid w:val="003D37D8"/>
    <w:rsid w:val="00426133"/>
    <w:rsid w:val="004358AB"/>
    <w:rsid w:val="004C04BD"/>
    <w:rsid w:val="004D34F9"/>
    <w:rsid w:val="00534F97"/>
    <w:rsid w:val="00785158"/>
    <w:rsid w:val="008B7726"/>
    <w:rsid w:val="009A3D20"/>
    <w:rsid w:val="00BA1E0A"/>
    <w:rsid w:val="00D31D50"/>
    <w:rsid w:val="00EB5B44"/>
    <w:rsid w:val="00EC111F"/>
    <w:rsid w:val="00FD3E55"/>
    <w:rsid w:val="01F87A5D"/>
    <w:rsid w:val="0911345C"/>
    <w:rsid w:val="099512AA"/>
    <w:rsid w:val="11013C84"/>
    <w:rsid w:val="14CB38E4"/>
    <w:rsid w:val="16A35CF0"/>
    <w:rsid w:val="174D79C1"/>
    <w:rsid w:val="176A2FAB"/>
    <w:rsid w:val="1B8D690D"/>
    <w:rsid w:val="2D41765A"/>
    <w:rsid w:val="491966D2"/>
    <w:rsid w:val="49C248EF"/>
    <w:rsid w:val="52457499"/>
    <w:rsid w:val="5852748D"/>
    <w:rsid w:val="5A860C7B"/>
    <w:rsid w:val="5E2B1871"/>
    <w:rsid w:val="609B0371"/>
    <w:rsid w:val="669D3A4B"/>
    <w:rsid w:val="7C494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99"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5"/>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4"/>
    <w:unhideWhenUsed/>
    <w:qFormat/>
    <w:uiPriority w:val="99"/>
    <w:pPr>
      <w:spacing w:after="0"/>
    </w:pPr>
    <w:rPr>
      <w:sz w:val="18"/>
      <w:szCs w:val="18"/>
    </w:rPr>
  </w:style>
  <w:style w:type="paragraph" w:styleId="4">
    <w:name w:val="index 9"/>
    <w:basedOn w:val="1"/>
    <w:next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6">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unhideWhenUsed/>
    <w:qFormat/>
    <w:uiPriority w:val="99"/>
    <w:rPr>
      <w:color w:val="0000FF"/>
      <w:u w:val="single"/>
    </w:rPr>
  </w:style>
  <w:style w:type="character" w:customStyle="1" w:styleId="12">
    <w:name w:val="apple-converted-space"/>
    <w:basedOn w:val="7"/>
    <w:qFormat/>
    <w:uiPriority w:val="0"/>
  </w:style>
  <w:style w:type="character" w:customStyle="1" w:styleId="13">
    <w:name w:val="标题 Char"/>
    <w:basedOn w:val="7"/>
    <w:link w:val="6"/>
    <w:qFormat/>
    <w:uiPriority w:val="10"/>
    <w:rPr>
      <w:rFonts w:eastAsia="宋体" w:asciiTheme="majorHAnsi" w:hAnsiTheme="majorHAnsi" w:cstheme="majorBidi"/>
      <w:b/>
      <w:bCs/>
      <w:sz w:val="32"/>
      <w:szCs w:val="32"/>
    </w:rPr>
  </w:style>
  <w:style w:type="character" w:customStyle="1" w:styleId="14">
    <w:name w:val="批注框文本 Char"/>
    <w:basedOn w:val="7"/>
    <w:link w:val="3"/>
    <w:semiHidden/>
    <w:qFormat/>
    <w:uiPriority w:val="99"/>
    <w:rPr>
      <w:rFonts w:ascii="Tahoma" w:hAnsi="Tahoma"/>
      <w:sz w:val="18"/>
      <w:szCs w:val="18"/>
    </w:rPr>
  </w:style>
  <w:style w:type="character" w:customStyle="1" w:styleId="15">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chart" Target="charts/chart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07328385899814"/>
          <c:y val="0.232370905052748"/>
          <c:w val="0.402040816326531"/>
          <c:h val="0.601610216546363"/>
        </c:manualLayout>
      </c:layout>
      <c:pieChart>
        <c:varyColors val="1"/>
        <c:ser>
          <c:idx val="0"/>
          <c:order val="0"/>
          <c:tx>
            <c:strRef>
              <c:f>Sheet1!$B$1</c:f>
              <c:strCache>
                <c:ptCount val="1"/>
                <c:pt idx="0">
                  <c:v>公开信息数</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厅官方网站</c:v>
                </c:pt>
                <c:pt idx="1">
                  <c:v>政务微博</c:v>
                </c:pt>
                <c:pt idx="2">
                  <c:v>政务微信</c:v>
                </c:pt>
                <c:pt idx="3">
                  <c:v>其他渠道</c:v>
                </c:pt>
              </c:strCache>
            </c:strRef>
          </c:cat>
          <c:val>
            <c:numRef>
              <c:f>Sheet1!$B$2:$B$5</c:f>
              <c:numCache>
                <c:formatCode>General</c:formatCode>
                <c:ptCount val="4"/>
                <c:pt idx="0">
                  <c:v>3689</c:v>
                </c:pt>
                <c:pt idx="1">
                  <c:v>1190</c:v>
                </c:pt>
                <c:pt idx="2">
                  <c:v>1190</c:v>
                </c:pt>
                <c:pt idx="3">
                  <c:v>495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541</Words>
  <Characters>3087</Characters>
  <Lines>25</Lines>
  <Paragraphs>7</Paragraphs>
  <ScaleCrop>false</ScaleCrop>
  <LinksUpToDate>false</LinksUpToDate>
  <CharactersWithSpaces>3621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yao</dc:creator>
  <cp:lastModifiedBy>yao</cp:lastModifiedBy>
  <cp:lastPrinted>2018-01-26T02:23:35Z</cp:lastPrinted>
  <dcterms:modified xsi:type="dcterms:W3CDTF">2018-01-26T02:25:03Z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