
<file path=[Content_Types].xml><?xml version="1.0" encoding="utf-8"?>
<Types xmlns="http://schemas.openxmlformats.org/package/2006/content-types">
  <Default Extension="xml" ContentType="application/xml"/>
  <Default Extension="xlsx" ContentType="application/vnd.openxmlformats-officedocument.spreadsheetml.sheet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</w:p>
    <w:p>
      <w:pPr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山东省体育局</w:t>
      </w:r>
    </w:p>
    <w:p>
      <w:pPr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2017年度政府信息公开工作年度报告</w:t>
      </w:r>
    </w:p>
    <w:p>
      <w:pPr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</w:p>
    <w:p>
      <w:pPr>
        <w:spacing w:line="56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本报告由山东省体育局根据《中华人民共和国政府信息公开条例》《山东省政府信息公开办法》等有关法规文件编制。全文内容包括概述、政府信息主动公开情况、政府信息依申请公开情况、政府信息公开收费及减免情况、因政府信息公开申请行政复议和提起行政诉讼的情况、存在的主要问题和改进措施，以及相关统计附表、附图等。本报告中所列数据统计时限自2017年1月1日起，至2017年12月31日止。报告的电子版可在山东省体育局网站（www.sdty.gov.cn）查阅或下载。如对本年度报告有疑问，公民、法人或者其他组织如有其他需求或建议，可请与山东省体育局办公室联系（办公地址：济南市经十路20286号，邮编：250002，办公时间：8:30-12:00，13:00-17:00（工作日），联系电话：0531-82063649，电子邮箱：</w:t>
      </w:r>
      <w:r>
        <w:fldChar w:fldCharType="begin"/>
      </w:r>
      <w:r>
        <w:instrText xml:space="preserve"> HYPERLINK "mailto:sdtyj@163.com" </w:instrText>
      </w:r>
      <w:r>
        <w:fldChar w:fldCharType="separate"/>
      </w:r>
      <w:r>
        <w:rPr>
          <w:rFonts w:hint="eastAsia" w:ascii="仿宋" w:hAnsi="仿宋" w:eastAsia="仿宋"/>
          <w:sz w:val="32"/>
          <w:szCs w:val="32"/>
        </w:rPr>
        <w:t>sdtyj@163.com</w:t>
      </w:r>
      <w:r>
        <w:rPr>
          <w:rFonts w:hint="eastAsia" w:ascii="仿宋" w:hAnsi="仿宋" w:eastAsia="仿宋"/>
          <w:sz w:val="32"/>
          <w:szCs w:val="32"/>
        </w:rPr>
        <w:fldChar w:fldCharType="end"/>
      </w:r>
      <w:r>
        <w:rPr>
          <w:rFonts w:hint="eastAsia" w:ascii="仿宋" w:hAnsi="仿宋" w:eastAsia="仿宋"/>
          <w:sz w:val="32"/>
          <w:szCs w:val="32"/>
        </w:rPr>
        <w:t>）。</w:t>
      </w:r>
    </w:p>
    <w:p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一、概述</w:t>
      </w: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2017年，省体育局认真贯彻落实党的十九大精神，以习近平新时代中国特色社会主义思想为指导，按照《省委办公厅省政府办公厅关于全面推进政务公开工作的实施意见》（鲁办发〔2016〕43号）和《省政府办公厅关于印发2017年山东省政务公开工作要点》（鲁政办发〔2017〕39号）有关要求，坚持“公开为常态，不公开为例外”，进一步加大政务公开力度，全面推进决策、执行、管理、服务、结果公开，不断增强政务公开实效，保障人民群众的知情权、参与权、表达权和监督权。</w:t>
      </w:r>
    </w:p>
    <w:p>
      <w:pPr>
        <w:spacing w:line="56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一是健全工作机制。印发《山东省体育局2017年政务公开工作实施方案》，建立了任务分工台账，进一步完善了制度，明确了责任，强化了责任落实。全面落实“五公开”工作机制，将“五公开”纳入办文、办会程序。</w:t>
      </w:r>
    </w:p>
    <w:p>
      <w:pPr>
        <w:spacing w:line="56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二是优化平台建设。改版升级局官方网站，将省体育局和各直属单位网站统一整合，强化信息发布、政策解读、政务服务等功能，充分发挥政府网站的第一平台作用。高度重视新媒体平台建设，充分利用微博、微信、今日头条号发布政策信息，官方微博@山东体育荣获2017山东省直机关最具影响力微博，在全国体育系统排名第七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1135" cy="2463800"/>
            <wp:effectExtent l="0" t="0" r="5715" b="0"/>
            <wp:docPr id="1" name="图片 1" descr="C:\Users\HEXULI\AppData\Roaming\Tencent\Users\29274757\QQ\WinTemp\RichOle\NFLDOF(~B1QU]HJA`O)N94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HEXULI\AppData\Roaming\Tencent\Users\29274757\QQ\WinTemp\RichOle\NFLDOF(~B1QU]HJA`O)N94J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39" cy="246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080635" cy="2734310"/>
            <wp:effectExtent l="0" t="0" r="5715" b="8890"/>
            <wp:docPr id="4" name="图片 1" descr="C:\Users\HEXULI\AppData\Roaming\Tencent\Users\29274757\QQ\WinTemp\RichOle\C$C21])I8)QI]ONMEUZ5R}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HEXULI\AppData\Roaming\Tencent\Users\29274757\QQ\WinTemp\RichOle\C$C21])I8)QI]ONMEUZ5R}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0985" cy="273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宋体"/>
          <w:kern w:val="0"/>
          <w:sz w:val="32"/>
          <w:szCs w:val="32"/>
        </w:rPr>
      </w:pPr>
      <w:r>
        <w:rPr>
          <w:rFonts w:ascii="楷体" w:hAnsi="楷体" w:eastAsia="楷体" w:cs="宋体"/>
          <w:kern w:val="0"/>
          <w:sz w:val="32"/>
          <w:szCs w:val="32"/>
        </w:rPr>
        <w:drawing>
          <wp:inline distT="0" distB="0" distL="0" distR="0">
            <wp:extent cx="1577340" cy="2800350"/>
            <wp:effectExtent l="0" t="0" r="3810" b="0"/>
            <wp:docPr id="5" name="图片 5" descr="C:\Users\Mine\Desktop\截图\0108_1\01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Mine\Desktop\截图\0108_1\0108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8180" cy="280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宋体"/>
          <w:kern w:val="0"/>
          <w:sz w:val="32"/>
          <w:szCs w:val="32"/>
        </w:rPr>
        <w:t xml:space="preserve"> </w:t>
      </w:r>
      <w:r>
        <w:rPr>
          <w:rFonts w:ascii="楷体" w:hAnsi="楷体" w:eastAsia="楷体" w:cs="宋体"/>
          <w:kern w:val="0"/>
          <w:sz w:val="32"/>
          <w:szCs w:val="32"/>
        </w:rPr>
        <w:drawing>
          <wp:inline distT="0" distB="0" distL="0" distR="0">
            <wp:extent cx="1577340" cy="2800350"/>
            <wp:effectExtent l="0" t="0" r="3810" b="0"/>
            <wp:docPr id="6" name="图片 6" descr="C:\Users\Mine\Desktop\截图\0108_1\010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Mine\Desktop\截图\0108_1\0108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487" cy="280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宋体"/>
          <w:kern w:val="0"/>
          <w:sz w:val="32"/>
          <w:szCs w:val="32"/>
        </w:rPr>
        <w:t xml:space="preserve">  </w:t>
      </w:r>
      <w:r>
        <w:rPr>
          <w:rFonts w:ascii="楷体" w:hAnsi="楷体" w:eastAsia="楷体" w:cs="宋体"/>
          <w:kern w:val="0"/>
          <w:sz w:val="32"/>
          <w:szCs w:val="32"/>
        </w:rPr>
        <w:drawing>
          <wp:inline distT="0" distB="0" distL="0" distR="0">
            <wp:extent cx="1574800" cy="2795905"/>
            <wp:effectExtent l="0" t="0" r="6350" b="4445"/>
            <wp:docPr id="7" name="图片 7" descr="C:\Users\Mine\Desktop\截图\0108_1\010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Mine\Desktop\截图\0108_1\0108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6905" cy="279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60" w:hanging="160" w:hangingChars="50"/>
        <w:rPr>
          <w:rFonts w:ascii="楷体" w:hAnsi="楷体" w:eastAsia="楷体" w:cs="宋体"/>
          <w:kern w:val="0"/>
          <w:sz w:val="32"/>
          <w:szCs w:val="32"/>
        </w:rPr>
      </w:pPr>
      <w:r>
        <w:rPr>
          <w:rFonts w:ascii="楷体" w:hAnsi="楷体" w:eastAsia="楷体" w:cs="宋体"/>
          <w:kern w:val="0"/>
          <w:sz w:val="32"/>
          <w:szCs w:val="32"/>
        </w:rPr>
        <w:drawing>
          <wp:inline distT="0" distB="0" distL="0" distR="0">
            <wp:extent cx="1533525" cy="2721610"/>
            <wp:effectExtent l="0" t="0" r="0" b="2540"/>
            <wp:docPr id="8" name="图片 8" descr="C:\Users\Mine\Desktop\截图\01082\0108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Mine\Desktop\截图\01082\0108_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6360" cy="272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hAnsi="楷体" w:eastAsia="楷体" w:cs="宋体"/>
          <w:kern w:val="0"/>
          <w:sz w:val="32"/>
          <w:szCs w:val="32"/>
        </w:rPr>
        <w:drawing>
          <wp:inline distT="0" distB="0" distL="0" distR="0">
            <wp:extent cx="1534160" cy="2724150"/>
            <wp:effectExtent l="0" t="0" r="8890" b="0"/>
            <wp:docPr id="9" name="图片 9" descr="C:\Users\Mine\Desktop\截图\01082\0108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Mine\Desktop\截图\01082\0108_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6174" cy="272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hAnsi="楷体" w:eastAsia="楷体" w:cs="宋体"/>
          <w:kern w:val="0"/>
          <w:sz w:val="32"/>
          <w:szCs w:val="32"/>
        </w:rPr>
        <w:drawing>
          <wp:inline distT="0" distB="0" distL="0" distR="0">
            <wp:extent cx="1590040" cy="2822575"/>
            <wp:effectExtent l="0" t="0" r="0" b="0"/>
            <wp:docPr id="10" name="图片 10" descr="C:\Users\Mine\Desktop\截图\01082\0108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Mine\Desktop\截图\01082\0108_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5271" cy="283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三是发挥晨报作用。充分发挥《体育晨报》作用，将晨报建设成我省体育系统信息报送、分发、公开的枢纽。进一步加强新闻发布工作，完善发布流程，主动利用新闻通气会等多种形式做好信息公开工作。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095875" cy="2710815"/>
            <wp:effectExtent l="0" t="0" r="0" b="0"/>
            <wp:docPr id="11" name="图片 11" descr="C:\Users\HEXULI\AppData\Roaming\Tencent\Users\29274757\QQ\WinTemp\RichOle\6R]$C85U86((K0@[O~68F`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HEXULI\AppData\Roaming\Tencent\Users\29274757\QQ\WinTemp\RichOle\6R]$C85U86((K0@[O~68F`L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3681" cy="271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二、主动公开政府信息情况</w:t>
      </w:r>
    </w:p>
    <w:p>
      <w:pPr>
        <w:spacing w:line="56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全年主动公开涉及群众体育、竞技体育、体育产业等方面政府信息4724条。按公开渠道和方式分，通过局官方网站公开2247条，政务微博公开1122条，政务微信公开1035条，其他方式公开320条。</w:t>
      </w:r>
    </w:p>
    <w:p>
      <w:pPr>
        <w:spacing w:line="560" w:lineRule="exact"/>
        <w:jc w:val="center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主动公开政府信息情况</w:t>
      </w:r>
    </w:p>
    <w:p>
      <w:pPr>
        <w:ind w:firstLine="420" w:firstLineChars="200"/>
        <w:jc w:val="center"/>
        <w:rPr>
          <w:rFonts w:hint="eastAsia" w:ascii="仿宋" w:hAnsi="仿宋" w:eastAsia="仿宋"/>
          <w:sz w:val="32"/>
          <w:szCs w:val="32"/>
        </w:rPr>
      </w:pPr>
      <w:r>
        <w:drawing>
          <wp:inline distT="0" distB="0" distL="0" distR="0">
            <wp:extent cx="4317365" cy="2075180"/>
            <wp:effectExtent l="0" t="0" r="26035" b="20320"/>
            <wp:docPr id="3" name="图表 3" title="主动公开政府信息情况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一是推进“放管服”改革信息公开。深化行政许可事项目录、权责清单、公共服务事项目录公开，加强清单动态管理。按照省体育局“双随机、一公开”监管方案，开展随机抽查，并通过局官方网站公开抽查情况。</w:t>
      </w:r>
    </w:p>
    <w:p>
      <w:pPr>
        <w:spacing w:line="56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二是推进重点领域信息公开。及时公开重要体育赛事活动、体育彩票公益金使用等信息公开工作；继续深入推进预决算公开，公开单位职责、机构设置、一般公共预算收支、政府性基金预算收支、机关运行经费等情况；做好人大代表建议和政协委员提案办理结果公开工作，对涉及公共利益、公众利益、社会关切及需要社会广泛知晓的的建议提案，公开答复全文，及时回应关切，接受群众监督。</w:t>
      </w:r>
    </w:p>
    <w:p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三、依申请公开政府信息情况</w:t>
      </w: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全年收到政府信息公开申请5条，其中信函申请2条，网络申请3条，全部根据有关规定和申请人要求，进行了及时受理，并按时向申请人作出答复。在答复的申请中，属于已主动公开范围2件，同意公开答复、同意公开部分答复、不属于本机关公开各1件。</w:t>
      </w:r>
    </w:p>
    <w:p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四、政府信息公开收费及减免情况</w:t>
      </w:r>
    </w:p>
    <w:p>
      <w:pPr>
        <w:spacing w:line="56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本年度，我局依申请公开政府信息没有收取任何费用。</w:t>
      </w:r>
    </w:p>
    <w:p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五、因政府信息公开申请行政复议和提起行政诉讼情况</w:t>
      </w: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本年度，我局没有发生因政府信息公开申请行政复议、提起行政诉讼的情况。</w:t>
      </w:r>
    </w:p>
    <w:p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六、存在的主要问题及改进措施</w:t>
      </w:r>
    </w:p>
    <w:p>
      <w:pPr>
        <w:spacing w:line="560" w:lineRule="exact"/>
        <w:ind w:firstLine="640" w:firstLineChars="200"/>
        <w:rPr>
          <w:rFonts w:hint="eastAsia"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（一）主要问题</w:t>
      </w:r>
    </w:p>
    <w:p>
      <w:pPr>
        <w:spacing w:line="56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我局政府信息公开工作当前面临的新形势和人民群众的新期待相比，还存在一些差距。一是“五公开”力度有待进一步加强；工作规范化程度有待进一步提高。</w:t>
      </w:r>
    </w:p>
    <w:p>
      <w:pPr>
        <w:spacing w:line="560" w:lineRule="exact"/>
        <w:ind w:firstLine="640" w:firstLineChars="200"/>
        <w:rPr>
          <w:rFonts w:hint="eastAsia"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（二）改进措施</w:t>
      </w: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省体育局将认真落实《中华人民共和国政府信息公开条例》《中共中央办公厅 国务院办公厅关于全面推进政务公开工作的意见》和《国务院办公厅&lt;关于全面推进政务公开工作的意见&gt;实施细则》等有关要求，扎实做好信息公开工作。一是落实“五公开”，有关规定，把“五公开”要求落实到会议办理程序，邀请利益相关方、公众代表、专家、媒体等列席局长办公会和有关工作会议；二是加强制度建设，进一步完善信息发布、依申请公开等工作流程，提升工作的规范化程度。</w:t>
      </w:r>
    </w:p>
    <w:p>
      <w:pPr>
        <w:spacing w:line="56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附件：山东省体育局2017年度政府信息公开工作情况</w:t>
      </w:r>
    </w:p>
    <w:p>
      <w:pPr>
        <w:spacing w:line="560" w:lineRule="exact"/>
        <w:ind w:firstLine="1600" w:firstLineChars="5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统计表</w:t>
      </w:r>
    </w:p>
    <w:p>
      <w:pPr>
        <w:spacing w:line="560" w:lineRule="exact"/>
        <w:ind w:firstLine="1600" w:firstLineChars="500"/>
        <w:rPr>
          <w:rFonts w:hint="eastAsia" w:ascii="仿宋" w:hAnsi="仿宋" w:eastAsia="仿宋"/>
          <w:sz w:val="32"/>
          <w:szCs w:val="32"/>
        </w:rPr>
      </w:pPr>
    </w:p>
    <w:p>
      <w:pPr>
        <w:spacing w:line="560" w:lineRule="exact"/>
        <w:ind w:firstLine="1600" w:firstLineChars="500"/>
        <w:rPr>
          <w:rFonts w:hint="eastAsia" w:ascii="仿宋" w:hAnsi="仿宋" w:eastAsia="仿宋"/>
          <w:sz w:val="32"/>
          <w:szCs w:val="32"/>
        </w:rPr>
      </w:pPr>
    </w:p>
    <w:p>
      <w:pPr>
        <w:spacing w:line="560" w:lineRule="exact"/>
        <w:ind w:firstLine="1600" w:firstLineChars="500"/>
        <w:rPr>
          <w:rFonts w:hint="eastAsia" w:ascii="仿宋" w:hAnsi="仿宋" w:eastAsia="仿宋"/>
          <w:sz w:val="32"/>
          <w:szCs w:val="32"/>
        </w:rPr>
      </w:pPr>
    </w:p>
    <w:p>
      <w:pPr>
        <w:spacing w:line="560" w:lineRule="exact"/>
        <w:ind w:firstLine="1600" w:firstLineChars="500"/>
        <w:rPr>
          <w:rFonts w:hint="eastAsia" w:ascii="仿宋" w:hAnsi="仿宋" w:eastAsia="仿宋"/>
          <w:sz w:val="32"/>
          <w:szCs w:val="32"/>
        </w:rPr>
      </w:pPr>
    </w:p>
    <w:p>
      <w:pPr>
        <w:spacing w:line="560" w:lineRule="exact"/>
        <w:ind w:firstLine="1600" w:firstLineChars="500"/>
        <w:rPr>
          <w:rFonts w:hint="eastAsia" w:ascii="仿宋" w:hAnsi="仿宋" w:eastAsia="仿宋"/>
          <w:sz w:val="32"/>
          <w:szCs w:val="32"/>
        </w:rPr>
      </w:pPr>
    </w:p>
    <w:p>
      <w:pPr>
        <w:spacing w:line="560" w:lineRule="exact"/>
        <w:ind w:firstLine="1600" w:firstLineChars="500"/>
        <w:rPr>
          <w:rFonts w:hint="eastAsia" w:ascii="仿宋" w:hAnsi="仿宋" w:eastAsia="仿宋"/>
          <w:sz w:val="32"/>
          <w:szCs w:val="32"/>
        </w:rPr>
      </w:pPr>
    </w:p>
    <w:p>
      <w:pPr>
        <w:spacing w:line="560" w:lineRule="exact"/>
        <w:ind w:firstLine="1600" w:firstLineChars="500"/>
        <w:rPr>
          <w:rFonts w:hint="eastAsia" w:ascii="仿宋" w:hAnsi="仿宋" w:eastAsia="仿宋"/>
          <w:sz w:val="32"/>
          <w:szCs w:val="32"/>
        </w:rPr>
      </w:pPr>
    </w:p>
    <w:p>
      <w:pPr>
        <w:spacing w:line="560" w:lineRule="exact"/>
        <w:ind w:firstLine="1600" w:firstLineChars="500"/>
        <w:rPr>
          <w:rFonts w:hint="eastAsia" w:ascii="仿宋" w:hAnsi="仿宋" w:eastAsia="仿宋"/>
          <w:sz w:val="32"/>
          <w:szCs w:val="32"/>
        </w:rPr>
      </w:pPr>
    </w:p>
    <w:p>
      <w:pPr>
        <w:jc w:val="center"/>
        <w:rPr>
          <w:rFonts w:hint="eastAsia" w:ascii="宋体" w:hAnsi="宋体"/>
          <w:b/>
          <w:sz w:val="32"/>
        </w:rPr>
      </w:pPr>
    </w:p>
    <w:p>
      <w:pPr>
        <w:jc w:val="center"/>
        <w:rPr>
          <w:rFonts w:hint="eastAsia" w:ascii="宋体" w:hAnsi="宋体"/>
          <w:b/>
          <w:sz w:val="32"/>
        </w:rPr>
      </w:pPr>
      <w:r>
        <w:rPr>
          <w:rFonts w:hint="eastAsia" w:ascii="宋体" w:hAnsi="宋体"/>
          <w:b/>
          <w:sz w:val="32"/>
        </w:rPr>
        <w:t>2017年度政府信息公开工作情况统计表</w:t>
      </w:r>
    </w:p>
    <w:p>
      <w:pPr>
        <w:jc w:val="center"/>
        <w:rPr>
          <w:rFonts w:hint="eastAsia"/>
        </w:rPr>
      </w:pPr>
      <w:r>
        <w:rPr>
          <w:rFonts w:hint="eastAsia"/>
          <w:b/>
          <w:sz w:val="28"/>
          <w:szCs w:val="28"/>
        </w:rPr>
        <w:t>（省体育局）</w:t>
      </w:r>
    </w:p>
    <w:tbl>
      <w:tblPr>
        <w:tblStyle w:val="10"/>
        <w:tblW w:w="9450" w:type="dxa"/>
        <w:jc w:val="center"/>
        <w:tblInd w:w="-8" w:type="dxa"/>
        <w:tblBorders>
          <w:top w:val="single" w:color="0A0A0A" w:sz="6" w:space="0"/>
          <w:left w:val="single" w:color="0A0A0A" w:sz="6" w:space="0"/>
          <w:bottom w:val="single" w:color="0A0A0A" w:sz="6" w:space="0"/>
          <w:right w:val="single" w:color="0A0A0A" w:sz="6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575"/>
        <w:gridCol w:w="1020"/>
        <w:gridCol w:w="855"/>
      </w:tblGrid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pStyle w:val="5"/>
              <w:spacing w:before="0" w:beforeAutospacing="0" w:after="0" w:afterAutospacing="0" w:line="420" w:lineRule="atLeast"/>
              <w:ind w:firstLine="685"/>
              <w:jc w:val="center"/>
              <w:rPr>
                <w:rFonts w:hint="eastAsia"/>
                <w:color w:val="000000"/>
              </w:rPr>
            </w:pPr>
            <w:r>
              <w:rPr>
                <w:rStyle w:val="7"/>
                <w:rFonts w:hint="eastAsia"/>
                <w:color w:val="000000"/>
                <w:sz w:val="20"/>
                <w:szCs w:val="20"/>
              </w:rPr>
              <w:t>统　计　指　标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Style w:val="7"/>
                <w:rFonts w:hint="eastAsia" w:ascii="宋体" w:hAnsi="宋体"/>
                <w:color w:val="000000"/>
                <w:sz w:val="20"/>
                <w:szCs w:val="20"/>
              </w:rPr>
              <w:t>单位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Style w:val="7"/>
                <w:rFonts w:hint="eastAsia" w:ascii="宋体" w:hAnsi="宋体"/>
                <w:color w:val="000000"/>
                <w:sz w:val="20"/>
                <w:szCs w:val="20"/>
              </w:rPr>
              <w:t>统计数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hint="eastAsia" w:ascii="黑体" w:hAnsi="宋体" w:eastAsia="黑体" w:cs="宋体"/>
                <w:color w:val="000000"/>
                <w:sz w:val="24"/>
              </w:rPr>
            </w:pPr>
            <w:r>
              <w:rPr>
                <w:rFonts w:hint="eastAsia" w:ascii="黑体" w:hAnsi="宋体" w:eastAsia="黑体"/>
                <w:color w:val="000000"/>
                <w:sz w:val="20"/>
                <w:szCs w:val="20"/>
              </w:rPr>
              <w:t>一、主动公开情况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  <w:tr2bl w:val="single" w:color="auto" w:sz="4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（一）主动公开政府信息数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br w:type="textWrapping"/>
            </w:r>
            <w:r>
              <w:rPr>
                <w:rFonts w:ascii="宋体" w:hAnsi="宋体"/>
                <w:color w:val="000000"/>
                <w:sz w:val="20"/>
                <w:szCs w:val="20"/>
              </w:rPr>
              <w:t>　　　　（不同渠道和方式公开相同信息计1条）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4724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　　　　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　其中：主动公开规范性文件数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　　　　制发规范性文件总数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（二）通过不同渠道和方式公开政府信息的情况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  <w:tr2bl w:val="single" w:color="auto" w:sz="4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1.政府公报公开政府信息数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2.政府网站公开政府信息数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2247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3.政务微博公开政府信息数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1122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4.政务微信公开政府信息数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1035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5.其他方式公开政府信息数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320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hint="eastAsia" w:ascii="黑体" w:hAnsi="宋体" w:eastAsia="黑体" w:cs="宋体"/>
                <w:color w:val="000000"/>
                <w:sz w:val="24"/>
              </w:rPr>
            </w:pPr>
            <w:r>
              <w:rPr>
                <w:rFonts w:hint="eastAsia" w:ascii="黑体" w:hAnsi="宋体" w:eastAsia="黑体"/>
                <w:color w:val="000000"/>
                <w:sz w:val="20"/>
                <w:szCs w:val="20"/>
              </w:rPr>
              <w:t>二、回应解读情况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  <w:tr2bl w:val="single" w:color="auto" w:sz="4" w:space="0"/>
            </w:tcBorders>
            <w:shd w:val="clear" w:color="auto" w:fill="FFFFFF"/>
            <w:vAlign w:val="center"/>
          </w:tcPr>
          <w:p>
            <w:pPr>
              <w:pStyle w:val="5"/>
              <w:spacing w:before="0" w:beforeAutospacing="0" w:after="0" w:afterAutospacing="0" w:line="420" w:lineRule="atLeast"/>
              <w:ind w:firstLine="685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855" w:type="dxa"/>
            <w:tcBorders>
              <w:top w:val="single" w:color="auto" w:sz="0" w:space="0"/>
              <w:left w:val="single" w:color="auto" w:sz="0" w:space="0"/>
              <w:bottom w:val="single" w:color="auto" w:sz="0" w:space="0"/>
            </w:tcBorders>
            <w:shd w:val="clear" w:color="auto" w:fill="FFFFFF"/>
            <w:vAlign w:val="center"/>
          </w:tcPr>
          <w:p>
            <w:pPr>
              <w:rPr>
                <w:sz w:val="20"/>
                <w:szCs w:val="20"/>
              </w:rPr>
            </w:pP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pStyle w:val="5"/>
              <w:spacing w:before="0" w:beforeAutospacing="0" w:after="0" w:afterAutospacing="0" w:line="420" w:lineRule="atLeast"/>
              <w:ind w:firstLine="400" w:firstLineChars="200"/>
              <w:rPr>
                <w:color w:val="000000"/>
              </w:rPr>
            </w:pPr>
            <w:r>
              <w:rPr>
                <w:rFonts w:cs="Times New Roman"/>
                <w:color w:val="000000"/>
                <w:kern w:val="2"/>
                <w:sz w:val="20"/>
                <w:szCs w:val="20"/>
              </w:rPr>
              <w:t>（一）回应公众关注热点或重大舆情数</w:t>
            </w:r>
            <w:r>
              <w:rPr>
                <w:rFonts w:cs="Times New Roman"/>
                <w:color w:val="000000"/>
                <w:kern w:val="2"/>
                <w:sz w:val="20"/>
                <w:szCs w:val="20"/>
              </w:rPr>
              <w:br w:type="textWrapping"/>
            </w:r>
            <w:r>
              <w:rPr>
                <w:rFonts w:cs="Times New Roman"/>
                <w:color w:val="000000"/>
                <w:kern w:val="2"/>
                <w:sz w:val="20"/>
                <w:szCs w:val="20"/>
              </w:rPr>
              <w:t>　　　　 （不同方式回应同一热点或舆情计1次）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2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（二）通过不同渠道和方式回应解读的情况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  <w:tr2bl w:val="single" w:color="auto" w:sz="4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1.参加或举办新闻发布会总次数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2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　 其中：主要负责同志参加新闻发布会次数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2.政府网站在线访谈次数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　 其中：主要负责同志参加政府网站在线访谈次数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3.政策解读稿件发布数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篇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15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4.微博微信回应事件数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5.其他方式回应事件数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96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hint="eastAsia" w:ascii="黑体" w:hAnsi="宋体" w:eastAsia="黑体" w:cs="宋体"/>
                <w:color w:val="000000"/>
                <w:sz w:val="24"/>
              </w:rPr>
            </w:pPr>
            <w:r>
              <w:rPr>
                <w:rFonts w:hint="eastAsia" w:ascii="黑体" w:hAnsi="宋体" w:eastAsia="黑体"/>
                <w:color w:val="000000"/>
                <w:sz w:val="20"/>
                <w:szCs w:val="20"/>
              </w:rPr>
              <w:t>三、依申请公开情况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  <w:tr2bl w:val="single" w:color="auto" w:sz="4" w:space="0"/>
            </w:tcBorders>
            <w:shd w:val="clear" w:color="auto" w:fill="FFFFFF"/>
            <w:vAlign w:val="center"/>
          </w:tcPr>
          <w:p>
            <w:pPr>
              <w:pStyle w:val="5"/>
              <w:spacing w:before="0" w:beforeAutospacing="0" w:after="0" w:afterAutospacing="0" w:line="420" w:lineRule="atLeast"/>
              <w:ind w:firstLine="685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855" w:type="dxa"/>
            <w:tcBorders>
              <w:top w:val="single" w:color="auto" w:sz="0" w:space="0"/>
              <w:left w:val="single" w:color="auto" w:sz="0" w:space="0"/>
              <w:bottom w:val="single" w:color="auto" w:sz="0" w:space="0"/>
            </w:tcBorders>
            <w:shd w:val="clear" w:color="auto" w:fill="FFFFFF"/>
            <w:vAlign w:val="center"/>
          </w:tcPr>
          <w:p>
            <w:pPr>
              <w:rPr>
                <w:sz w:val="20"/>
                <w:szCs w:val="20"/>
              </w:rPr>
            </w:pP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（一）收到申请数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5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1.当面申请数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2.传真申请数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3.网络申请数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3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4.信函申请数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2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single" w:color="auto" w:sz="4" w:space="0"/>
              <w:left w:val="single" w:color="auto" w:sz="4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hint="eastAsia"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 xml:space="preserve">          5.其他形式</w:t>
            </w:r>
          </w:p>
        </w:tc>
        <w:tc>
          <w:tcPr>
            <w:tcW w:w="1020" w:type="dxa"/>
            <w:tcBorders>
              <w:top w:val="single" w:color="auto" w:sz="4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single" w:color="auto" w:sz="4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ind w:firstLine="200" w:firstLineChars="100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（二）申请办结数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5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1.按时办结数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5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2.延期办结数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（三）申请答复数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5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1.属于已主动公开范围数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2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2.同意公开答复数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1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3.同意部分公开答复数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1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4.不同意公开答复数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 　其中：涉及国家秘密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　　　　 涉及商业秘密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　　　　 涉及个人隐私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　　　　 危及国家安全、公共安全、经济安全和社会稳定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　　　　 不是《条例》所指政府信息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　　　　 法律法规规定的其他情形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5.不属于本行政机关公开数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1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6.申请信息不存在数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7.告知作出更改补充数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8.告知通过其他途径办理数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hint="eastAsia" w:ascii="黑体" w:hAnsi="宋体" w:eastAsia="黑体" w:cs="宋体"/>
                <w:color w:val="000000"/>
                <w:sz w:val="24"/>
              </w:rPr>
            </w:pPr>
            <w:r>
              <w:rPr>
                <w:rFonts w:hint="eastAsia" w:ascii="黑体" w:hAnsi="宋体" w:eastAsia="黑体"/>
                <w:color w:val="000000"/>
                <w:sz w:val="20"/>
                <w:szCs w:val="20"/>
              </w:rPr>
              <w:t>四、行政复议数量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（一）维持具体行政行为数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（二）被依法纠错数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（三）其他情形数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hint="eastAsia" w:ascii="黑体" w:hAnsi="宋体" w:eastAsia="黑体" w:cs="宋体"/>
                <w:color w:val="000000"/>
                <w:sz w:val="24"/>
              </w:rPr>
            </w:pPr>
            <w:r>
              <w:rPr>
                <w:rFonts w:hint="eastAsia" w:ascii="黑体" w:hAnsi="宋体" w:eastAsia="黑体"/>
                <w:color w:val="000000"/>
                <w:sz w:val="20"/>
                <w:szCs w:val="20"/>
              </w:rPr>
              <w:t>五、行政诉讼数量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（一）维持具体行政行为或者驳回原告诉讼请求数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（二）被依法纠错数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（三）其他情形数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hint="eastAsia" w:ascii="黑体" w:hAnsi="宋体" w:eastAsia="黑体" w:cs="宋体"/>
                <w:color w:val="000000"/>
                <w:sz w:val="24"/>
              </w:rPr>
            </w:pPr>
            <w:r>
              <w:rPr>
                <w:rFonts w:hint="eastAsia" w:ascii="黑体" w:hAnsi="宋体" w:eastAsia="黑体"/>
                <w:color w:val="000000"/>
                <w:sz w:val="20"/>
                <w:szCs w:val="20"/>
              </w:rPr>
              <w:t>六、被举报投诉数量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（一）维持具体行政行为数</w:t>
            </w:r>
          </w:p>
        </w:tc>
        <w:tc>
          <w:tcPr>
            <w:tcW w:w="1020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ind w:firstLine="200" w:firstLineChars="100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（二）被纠错数</w:t>
            </w:r>
          </w:p>
        </w:tc>
        <w:tc>
          <w:tcPr>
            <w:tcW w:w="1020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 xml:space="preserve">  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（三）其他情形数</w:t>
            </w:r>
          </w:p>
        </w:tc>
        <w:tc>
          <w:tcPr>
            <w:tcW w:w="1020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 xml:space="preserve">  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七、向图书馆、档案馆等查阅场所报送信息数</w:t>
            </w:r>
          </w:p>
          <w:p>
            <w:pPr>
              <w:spacing w:line="420" w:lineRule="atLeast"/>
              <w:rPr>
                <w:rFonts w:hint="eastAsia"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855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 xml:space="preserve">  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（一）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纸质文件数</w:t>
            </w:r>
          </w:p>
        </w:tc>
        <w:tc>
          <w:tcPr>
            <w:tcW w:w="1020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855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 xml:space="preserve">  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single" w:color="auto" w:sz="4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（二）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电子文件数</w:t>
            </w:r>
          </w:p>
        </w:tc>
        <w:tc>
          <w:tcPr>
            <w:tcW w:w="1020" w:type="dxa"/>
            <w:tcBorders>
              <w:top w:val="single" w:color="auto" w:sz="4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855" w:type="dxa"/>
            <w:tcBorders>
              <w:top w:val="single" w:color="auto" w:sz="4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 xml:space="preserve">  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hint="eastAsia" w:ascii="黑体" w:hAnsi="宋体" w:eastAsia="黑体" w:cs="宋体"/>
                <w:color w:val="000000"/>
                <w:sz w:val="24"/>
              </w:rPr>
            </w:pPr>
            <w:r>
              <w:rPr>
                <w:rFonts w:hint="eastAsia" w:ascii="黑体" w:hAnsi="宋体" w:eastAsia="黑体"/>
                <w:color w:val="000000"/>
                <w:sz w:val="20"/>
                <w:szCs w:val="20"/>
              </w:rPr>
              <w:t>八、机构建设和保障经费情况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  <w:tr2bl w:val="single" w:color="auto" w:sz="4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（一）政府信息公开工作专门机构数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1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（二）设置政府信息公开查阅点数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1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（三）从事政府信息公开工作人员数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人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2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1.专职人员数（不包括政府公报及政府网站工作人员数）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人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2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2.兼职人员数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人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（四）政府信息公开专项经费（不包括用于政府公报编辑管理及政府网站建设维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br w:type="textWrapping"/>
            </w:r>
            <w:r>
              <w:rPr>
                <w:rFonts w:ascii="宋体" w:hAnsi="宋体"/>
                <w:color w:val="000000"/>
                <w:sz w:val="20"/>
                <w:szCs w:val="20"/>
              </w:rPr>
              <w:t>　　　　　护等方面的经费）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万元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3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hint="eastAsia" w:ascii="黑体" w:hAnsi="宋体" w:eastAsia="黑体" w:cs="宋体"/>
                <w:color w:val="000000"/>
                <w:sz w:val="24"/>
              </w:rPr>
            </w:pPr>
            <w:r>
              <w:rPr>
                <w:rFonts w:hint="eastAsia" w:ascii="黑体" w:hAnsi="宋体" w:eastAsia="黑体"/>
                <w:color w:val="000000"/>
                <w:sz w:val="20"/>
                <w:szCs w:val="20"/>
              </w:rPr>
              <w:t>九、政府信息公开会议和培训情况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  <w:tr2bl w:val="single" w:color="auto" w:sz="4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（一）召开政府信息公开工作会议或专题会议数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1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（二）举办各类培训班数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1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5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（三）接受培训人员数</w:t>
            </w:r>
          </w:p>
        </w:tc>
        <w:tc>
          <w:tcPr>
            <w:tcW w:w="10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人次</w:t>
            </w:r>
          </w:p>
        </w:tc>
        <w:tc>
          <w:tcPr>
            <w:tcW w:w="85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</w:rPr>
              <w:t>　</w:t>
            </w:r>
            <w:r>
              <w:rPr>
                <w:rFonts w:hint="eastAsia" w:ascii="宋体" w:hAnsi="宋体"/>
                <w:color w:val="000000"/>
              </w:rPr>
              <w:t>80</w:t>
            </w:r>
          </w:p>
        </w:tc>
      </w:tr>
    </w:tbl>
    <w:p>
      <w:pPr>
        <w:rPr>
          <w:rFonts w:hint="eastAsia" w:ascii="宋体" w:hAnsi="宋体"/>
          <w:color w:val="000000"/>
          <w:sz w:val="20"/>
          <w:szCs w:val="20"/>
        </w:rPr>
      </w:pPr>
      <w:r>
        <w:rPr>
          <w:rFonts w:hint="eastAsia" w:ascii="宋体" w:hAnsi="宋体"/>
          <w:color w:val="000000"/>
          <w:sz w:val="20"/>
          <w:szCs w:val="20"/>
        </w:rPr>
        <w:t>（注：各子栏目数总数要等于总栏目数量）</w:t>
      </w:r>
    </w:p>
    <w:p>
      <w:pPr>
        <w:rPr>
          <w:rFonts w:hint="eastAsia" w:ascii="黑体" w:hAnsi="宋体" w:eastAsia="黑体"/>
          <w:sz w:val="24"/>
        </w:rPr>
      </w:pPr>
    </w:p>
    <w:p/>
    <w:p>
      <w:pPr>
        <w:rPr>
          <w:rFonts w:hint="eastAsia"/>
        </w:rPr>
      </w:pPr>
    </w:p>
    <w:p>
      <w:pPr>
        <w:spacing w:line="560" w:lineRule="exact"/>
        <w:ind w:left="0" w:leftChars="0" w:firstLine="0" w:firstLineChars="0"/>
        <w:rPr>
          <w:rFonts w:hint="eastAsia" w:ascii="仿宋" w:hAnsi="仿宋" w:eastAsia="仿宋"/>
          <w:sz w:val="32"/>
          <w:szCs w:val="32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C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4C1"/>
    <w:rsid w:val="00126845"/>
    <w:rsid w:val="002554C1"/>
    <w:rsid w:val="002E6201"/>
    <w:rsid w:val="0040375C"/>
    <w:rsid w:val="006864C8"/>
    <w:rsid w:val="006A203B"/>
    <w:rsid w:val="006F282B"/>
    <w:rsid w:val="00890B32"/>
    <w:rsid w:val="009D01BA"/>
    <w:rsid w:val="00B14B61"/>
    <w:rsid w:val="00DB76D4"/>
    <w:rsid w:val="53B56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10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unhideWhenUsed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7">
    <w:name w:val="Strong"/>
    <w:qFormat/>
    <w:uiPriority w:val="22"/>
    <w:rPr>
      <w:b/>
      <w:bCs/>
    </w:rPr>
  </w:style>
  <w:style w:type="character" w:styleId="8">
    <w:name w:val="page number"/>
    <w:basedOn w:val="6"/>
    <w:unhideWhenUsed/>
    <w:uiPriority w:val="99"/>
  </w:style>
  <w:style w:type="character" w:styleId="9">
    <w:name w:val="Hyperlink"/>
    <w:basedOn w:val="6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2">
    <w:name w:val="页脚 Char"/>
    <w:basedOn w:val="6"/>
    <w:link w:val="3"/>
    <w:uiPriority w:val="99"/>
    <w:rPr>
      <w:sz w:val="18"/>
      <w:szCs w:val="18"/>
    </w:rPr>
  </w:style>
  <w:style w:type="character" w:customStyle="1" w:styleId="13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chart" Target="charts/chart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explosion val="0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/>
              </c:ext>
            </c:extLst>
          </c:dLbls>
          <c:cat>
            <c:strRef>
              <c:f>Sheet1!$B$5:$B$8</c:f>
              <c:strCache>
                <c:ptCount val="4"/>
                <c:pt idx="0">
                  <c:v>局官方网站</c:v>
                </c:pt>
                <c:pt idx="1">
                  <c:v>政务微博</c:v>
                </c:pt>
                <c:pt idx="2">
                  <c:v>政务微信</c:v>
                </c:pt>
                <c:pt idx="3">
                  <c:v>其他方式</c:v>
                </c:pt>
              </c:strCache>
            </c:strRef>
          </c:cat>
          <c:val>
            <c:numRef>
              <c:f>Sheet1!$C$5:$C$8</c:f>
              <c:numCache>
                <c:formatCode>General</c:formatCode>
                <c:ptCount val="4"/>
                <c:pt idx="0">
                  <c:v>2247</c:v>
                </c:pt>
                <c:pt idx="1">
                  <c:v>1122</c:v>
                </c:pt>
                <c:pt idx="2">
                  <c:v>1035</c:v>
                </c:pt>
                <c:pt idx="3">
                  <c:v>320</c:v>
                </c:pt>
              </c:numCache>
            </c:numRef>
          </c:val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txPr>
    <a:bodyPr/>
    <a:lstStyle/>
    <a:p>
      <a:pPr>
        <a:defRPr lang="zh-CN"/>
      </a:pPr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297</Words>
  <Characters>1695</Characters>
  <Lines>14</Lines>
  <Paragraphs>3</Paragraphs>
  <TotalTime>0</TotalTime>
  <ScaleCrop>false</ScaleCrop>
  <LinksUpToDate>false</LinksUpToDate>
  <CharactersWithSpaces>1989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2018-01-24T08:40:00Z</dcterms:created>
  <dc:creator>HEXULI</dc:creator>
  <cp:lastModifiedBy>lid</cp:lastModifiedBy>
  <dcterms:modified xsi:type="dcterms:W3CDTF">2018-03-28T02:19:38Z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