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shd w:val="clear" w:color="auto" w:fill="FFFFFF"/>
        <w:spacing w:line="560" w:lineRule="exact"/>
        <w:jc w:val="center"/>
        <w:outlineLvl w:val="2"/>
        <w:rPr>
          <w:rFonts w:ascii="方正小标宋简体" w:hAnsi="仿宋" w:eastAsia="方正小标宋简体" w:cs="宋体"/>
          <w:kern w:val="0"/>
          <w:sz w:val="44"/>
          <w:szCs w:val="44"/>
        </w:rPr>
      </w:pPr>
    </w:p>
    <w:p>
      <w:pPr>
        <w:widowControl/>
        <w:shd w:val="clear" w:color="auto" w:fill="FFFFFF"/>
        <w:spacing w:line="560" w:lineRule="exact"/>
        <w:jc w:val="center"/>
        <w:outlineLvl w:val="2"/>
        <w:rPr>
          <w:rFonts w:ascii="方正小标宋简体" w:hAnsi="仿宋" w:eastAsia="方正小标宋简体" w:cs="宋体"/>
          <w:kern w:val="0"/>
          <w:sz w:val="44"/>
          <w:szCs w:val="44"/>
        </w:rPr>
      </w:pPr>
    </w:p>
    <w:p>
      <w:pPr>
        <w:widowControl/>
        <w:shd w:val="clear" w:color="auto" w:fill="FFFFFF"/>
        <w:spacing w:line="560" w:lineRule="exact"/>
        <w:jc w:val="center"/>
        <w:outlineLvl w:val="2"/>
        <w:rPr>
          <w:rFonts w:ascii="方正小标宋简体" w:hAnsi="仿宋" w:eastAsia="方正小标宋简体" w:cs="宋体"/>
          <w:kern w:val="0"/>
          <w:sz w:val="44"/>
          <w:szCs w:val="44"/>
        </w:rPr>
      </w:pPr>
    </w:p>
    <w:p>
      <w:pPr>
        <w:widowControl/>
        <w:shd w:val="clear" w:color="auto" w:fill="FFFFFF"/>
        <w:spacing w:line="560" w:lineRule="exact"/>
        <w:jc w:val="center"/>
        <w:outlineLvl w:val="2"/>
        <w:rPr>
          <w:rFonts w:ascii="方正小标宋简体" w:hAnsi="仿宋" w:eastAsia="方正小标宋简体" w:cs="宋体"/>
          <w:kern w:val="0"/>
          <w:sz w:val="44"/>
          <w:szCs w:val="44"/>
        </w:rPr>
      </w:pPr>
    </w:p>
    <w:p>
      <w:pPr>
        <w:widowControl/>
        <w:shd w:val="clear" w:color="auto" w:fill="FFFFFF"/>
        <w:spacing w:line="560" w:lineRule="exact"/>
        <w:jc w:val="center"/>
        <w:outlineLvl w:val="2"/>
        <w:rPr>
          <w:rFonts w:ascii="方正小标宋简体" w:hAnsi="仿宋" w:eastAsia="方正小标宋简体" w:cs="宋体"/>
          <w:kern w:val="0"/>
          <w:sz w:val="44"/>
          <w:szCs w:val="44"/>
        </w:rPr>
      </w:pPr>
      <w:r>
        <w:rPr>
          <w:rFonts w:hint="eastAsia" w:ascii="方正小标宋简体" w:hAnsi="仿宋" w:eastAsia="方正小标宋简体" w:cs="宋体"/>
          <w:kern w:val="0"/>
          <w:sz w:val="44"/>
          <w:szCs w:val="44"/>
        </w:rPr>
        <w:t>山东省科技厅</w:t>
      </w:r>
    </w:p>
    <w:p>
      <w:pPr>
        <w:widowControl/>
        <w:shd w:val="clear" w:color="auto" w:fill="FFFFFF"/>
        <w:spacing w:line="560" w:lineRule="exact"/>
        <w:jc w:val="center"/>
        <w:outlineLvl w:val="2"/>
        <w:rPr>
          <w:rFonts w:ascii="方正小标宋简体" w:hAnsi="仿宋" w:eastAsia="方正小标宋简体" w:cs="宋体"/>
          <w:kern w:val="0"/>
          <w:sz w:val="44"/>
          <w:szCs w:val="44"/>
        </w:rPr>
      </w:pPr>
      <w:r>
        <w:rPr>
          <w:rFonts w:hint="eastAsia" w:ascii="方正小标宋简体" w:hAnsi="仿宋" w:eastAsia="方正小标宋简体" w:cs="宋体"/>
          <w:kern w:val="0"/>
          <w:sz w:val="44"/>
          <w:szCs w:val="44"/>
        </w:rPr>
        <w:t>2018年政府信息公开工作年度报告</w:t>
      </w:r>
    </w:p>
    <w:p>
      <w:pPr>
        <w:pStyle w:val="8"/>
        <w:shd w:val="clear" w:color="auto" w:fill="FFFFFF"/>
        <w:spacing w:before="0" w:beforeAutospacing="0" w:after="0" w:afterAutospacing="0"/>
        <w:ind w:firstLine="560" w:firstLineChars="200"/>
        <w:jc w:val="both"/>
        <w:rPr>
          <w:rFonts w:ascii="仿宋" w:hAnsi="仿宋" w:eastAsia="仿宋"/>
          <w:sz w:val="28"/>
          <w:szCs w:val="28"/>
        </w:rPr>
      </w:pP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根据《中华人民共和国政府信息公开条例》（以下简称《条例》）、《山东省政府信息公开办法》（以下简称《办法》）规定和有关文件要求，现公布省科技厅2018年度政府信息公开工作年度报告。本报告包括概述、组织领导和制度建设情况、主动公开政府信息、依申请公开政府信息情况、存在问题及改进措施以及统计附表等内容。本报告中所列数据的统计期限为2018年1月1日至12月31日。本报告电子版可在“山东省科学技术厅”门户网站（www.sdstc.gov.cn）“政务公开”栏目查阅或下载。如对本报告有疑问，请与山东省科技厅政府信息公开工作办公室联系（地址：济南市高新区舜华路607号，邮编：250101，电话：0531-66777263，66777061）。</w:t>
      </w:r>
    </w:p>
    <w:p>
      <w:pPr>
        <w:pStyle w:val="8"/>
        <w:shd w:val="clear" w:color="auto" w:fill="FFFFFF"/>
        <w:spacing w:before="0" w:beforeAutospacing="0" w:after="0" w:afterAutospacing="0" w:line="560" w:lineRule="exact"/>
        <w:ind w:firstLine="640" w:firstLineChars="200"/>
        <w:jc w:val="both"/>
        <w:rPr>
          <w:rStyle w:val="10"/>
          <w:rFonts w:ascii="黑体" w:hAnsi="黑体" w:eastAsia="黑体"/>
          <w:b w:val="0"/>
          <w:sz w:val="32"/>
          <w:szCs w:val="32"/>
        </w:rPr>
      </w:pPr>
      <w:r>
        <w:rPr>
          <w:rStyle w:val="10"/>
          <w:rFonts w:hint="eastAsia" w:ascii="黑体" w:hAnsi="黑体" w:eastAsia="黑体"/>
          <w:b w:val="0"/>
          <w:sz w:val="32"/>
          <w:szCs w:val="32"/>
        </w:rPr>
        <w:t>一、概述</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2018年，省科技厅认真贯彻落实《中华人民共和国政府信息公开条例》、《山东省政府信息公开办法》和《山东省人民政府办公厅关于印发2018年山东省政务公开工作要点的通知》（鲁政办发〔2017〕39号）等法律法规和政策文件精神，紧紧围绕我厅工作职能和中心工作，进一步强化组织领导，完善制度机制，全面推进决策、执行、管理、服务、结果“五公开”，</w:t>
      </w:r>
      <w:r>
        <w:rPr>
          <w:rFonts w:ascii="仿宋" w:hAnsi="仿宋" w:eastAsia="仿宋"/>
          <w:sz w:val="32"/>
          <w:szCs w:val="32"/>
        </w:rPr>
        <w:t>推进重点领域信息公开、政府信息公开机制、公开载体建设、创新政策解读等系列工作，不断拓宽信息公开渠道，完善公开功能、</w:t>
      </w:r>
      <w:r>
        <w:rPr>
          <w:rFonts w:hint="eastAsia" w:ascii="仿宋" w:hAnsi="仿宋" w:eastAsia="仿宋"/>
          <w:sz w:val="32"/>
          <w:szCs w:val="32"/>
        </w:rPr>
        <w:t>加强解读回应，</w:t>
      </w:r>
      <w:r>
        <w:rPr>
          <w:rFonts w:ascii="仿宋" w:hAnsi="仿宋" w:eastAsia="仿宋"/>
          <w:sz w:val="32"/>
          <w:szCs w:val="32"/>
        </w:rPr>
        <w:t>扩大公开范围、细化公开内容，</w:t>
      </w:r>
      <w:r>
        <w:rPr>
          <w:rFonts w:hint="eastAsia" w:ascii="仿宋" w:hAnsi="仿宋" w:eastAsia="仿宋"/>
          <w:sz w:val="32"/>
          <w:szCs w:val="32"/>
        </w:rPr>
        <w:t>以政务公开助力稳增长、促改革、调结构、惠民生，政府信息公开工作进展顺利并取得明显成效。</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ascii="仿宋" w:hAnsi="仿宋" w:eastAsia="仿宋" w:cs="Tahoma"/>
          <w:sz w:val="32"/>
          <w:szCs w:val="32"/>
          <w:shd w:val="clear" w:color="auto" w:fill="FFFFFF"/>
        </w:rPr>
        <w:t>201</w:t>
      </w:r>
      <w:r>
        <w:rPr>
          <w:rFonts w:hint="eastAsia" w:ascii="仿宋" w:hAnsi="仿宋" w:eastAsia="仿宋" w:cs="Tahoma"/>
          <w:sz w:val="32"/>
          <w:szCs w:val="32"/>
          <w:shd w:val="clear" w:color="auto" w:fill="FFFFFF"/>
        </w:rPr>
        <w:t>8</w:t>
      </w:r>
      <w:r>
        <w:rPr>
          <w:rFonts w:ascii="仿宋" w:hAnsi="仿宋" w:eastAsia="仿宋" w:cs="Tahoma"/>
          <w:sz w:val="32"/>
          <w:szCs w:val="32"/>
          <w:shd w:val="clear" w:color="auto" w:fill="FFFFFF"/>
        </w:rPr>
        <w:t>年，科技厅门户网共发布各类政府信息</w:t>
      </w:r>
      <w:r>
        <w:rPr>
          <w:rFonts w:hint="eastAsia" w:ascii="仿宋" w:hAnsi="仿宋" w:eastAsia="仿宋" w:cs="Tahoma"/>
          <w:sz w:val="32"/>
          <w:szCs w:val="32"/>
          <w:shd w:val="clear" w:color="auto" w:fill="FFFFFF"/>
        </w:rPr>
        <w:t>1557</w:t>
      </w:r>
      <w:r>
        <w:rPr>
          <w:rFonts w:ascii="仿宋" w:hAnsi="仿宋" w:eastAsia="仿宋" w:cs="Tahoma"/>
          <w:sz w:val="32"/>
          <w:szCs w:val="32"/>
          <w:shd w:val="clear" w:color="auto" w:fill="FFFFFF"/>
        </w:rPr>
        <w:t>条，新闻发布会</w:t>
      </w:r>
      <w:r>
        <w:rPr>
          <w:rFonts w:hint="eastAsia" w:ascii="仿宋" w:hAnsi="仿宋" w:eastAsia="仿宋" w:cs="Tahoma"/>
          <w:sz w:val="32"/>
          <w:szCs w:val="32"/>
          <w:shd w:val="clear" w:color="auto" w:fill="FFFFFF"/>
        </w:rPr>
        <w:t>6</w:t>
      </w:r>
      <w:r>
        <w:rPr>
          <w:rFonts w:ascii="仿宋" w:hAnsi="仿宋" w:eastAsia="仿宋" w:cs="Tahoma"/>
          <w:sz w:val="32"/>
          <w:szCs w:val="32"/>
          <w:shd w:val="clear" w:color="auto" w:fill="FFFFFF"/>
        </w:rPr>
        <w:t>次，在线访谈</w:t>
      </w:r>
      <w:r>
        <w:rPr>
          <w:rFonts w:hint="eastAsia" w:ascii="仿宋" w:hAnsi="仿宋" w:eastAsia="仿宋" w:cs="Tahoma"/>
          <w:sz w:val="32"/>
          <w:szCs w:val="32"/>
          <w:shd w:val="clear" w:color="auto" w:fill="FFFFFF"/>
        </w:rPr>
        <w:t>5</w:t>
      </w:r>
      <w:r>
        <w:rPr>
          <w:rFonts w:ascii="仿宋" w:hAnsi="仿宋" w:eastAsia="仿宋" w:cs="Tahoma"/>
          <w:sz w:val="32"/>
          <w:szCs w:val="32"/>
          <w:shd w:val="clear" w:color="auto" w:fill="FFFFFF"/>
        </w:rPr>
        <w:t>次，科技政策（数据）解读稿件</w:t>
      </w:r>
      <w:r>
        <w:rPr>
          <w:rFonts w:hint="eastAsia" w:ascii="仿宋" w:hAnsi="仿宋" w:eastAsia="仿宋" w:cs="Tahoma"/>
          <w:sz w:val="32"/>
          <w:szCs w:val="32"/>
          <w:shd w:val="clear" w:color="auto" w:fill="FFFFFF"/>
        </w:rPr>
        <w:t>18</w:t>
      </w:r>
      <w:r>
        <w:rPr>
          <w:rFonts w:ascii="仿宋" w:hAnsi="仿宋" w:eastAsia="仿宋" w:cs="Tahoma"/>
          <w:sz w:val="32"/>
          <w:szCs w:val="32"/>
          <w:shd w:val="clear" w:color="auto" w:fill="FFFFFF"/>
        </w:rPr>
        <w:t>篇，</w:t>
      </w:r>
      <w:r>
        <w:rPr>
          <w:rFonts w:hint="eastAsia" w:ascii="仿宋" w:hAnsi="仿宋" w:eastAsia="仿宋" w:cs="Tahoma"/>
          <w:sz w:val="32"/>
          <w:szCs w:val="32"/>
          <w:shd w:val="clear" w:color="auto" w:fill="FFFFFF"/>
        </w:rPr>
        <w:t>互动交流留言办理159条，开设</w:t>
      </w:r>
      <w:r>
        <w:rPr>
          <w:rFonts w:ascii="仿宋" w:hAnsi="仿宋" w:eastAsia="仿宋" w:cs="Tahoma"/>
          <w:sz w:val="32"/>
          <w:szCs w:val="32"/>
          <w:shd w:val="clear" w:color="auto" w:fill="FFFFFF"/>
        </w:rPr>
        <w:t>专题专栏</w:t>
      </w:r>
      <w:r>
        <w:rPr>
          <w:rFonts w:hint="eastAsia" w:ascii="仿宋" w:hAnsi="仿宋" w:eastAsia="仿宋" w:cs="Tahoma"/>
          <w:sz w:val="32"/>
          <w:szCs w:val="32"/>
          <w:shd w:val="clear" w:color="auto" w:fill="FFFFFF"/>
        </w:rPr>
        <w:t>7</w:t>
      </w:r>
      <w:r>
        <w:rPr>
          <w:rFonts w:ascii="仿宋" w:hAnsi="仿宋" w:eastAsia="仿宋" w:cs="Tahoma"/>
          <w:sz w:val="32"/>
          <w:szCs w:val="32"/>
          <w:shd w:val="clear" w:color="auto" w:fill="FFFFFF"/>
        </w:rPr>
        <w:t>个。科技厅门户网累计总访问量超过</w:t>
      </w:r>
      <w:r>
        <w:rPr>
          <w:rFonts w:hint="eastAsia" w:ascii="仿宋" w:hAnsi="仿宋" w:eastAsia="仿宋" w:cs="Tahoma"/>
          <w:sz w:val="32"/>
          <w:szCs w:val="32"/>
          <w:shd w:val="clear" w:color="auto" w:fill="FFFFFF"/>
        </w:rPr>
        <w:t>129.9</w:t>
      </w:r>
      <w:r>
        <w:rPr>
          <w:rFonts w:ascii="仿宋" w:hAnsi="仿宋" w:eastAsia="仿宋" w:cs="Tahoma"/>
          <w:sz w:val="32"/>
          <w:szCs w:val="32"/>
          <w:shd w:val="clear" w:color="auto" w:fill="FFFFFF"/>
        </w:rPr>
        <w:t>万人次。</w:t>
      </w:r>
      <w:r>
        <w:rPr>
          <w:rFonts w:hint="eastAsia" w:ascii="仿宋" w:hAnsi="仿宋" w:eastAsia="仿宋" w:cs="Tahoma"/>
          <w:sz w:val="32"/>
          <w:szCs w:val="32"/>
          <w:shd w:val="clear" w:color="auto" w:fill="FFFFFF"/>
        </w:rPr>
        <w:t>移动新媒体中，官方微博“山东科技”发布信息269条，关注量超过43.57万人，官方微信“山东科技”发布信息1505条，订阅数超过2.18万人。</w:t>
      </w:r>
    </w:p>
    <w:p>
      <w:pPr>
        <w:pStyle w:val="8"/>
        <w:shd w:val="clear" w:color="auto" w:fill="FFFFFF"/>
        <w:spacing w:before="0" w:beforeAutospacing="0" w:after="0" w:afterAutospacing="0" w:line="560" w:lineRule="exact"/>
        <w:ind w:firstLine="640" w:firstLineChars="200"/>
        <w:jc w:val="both"/>
        <w:rPr>
          <w:rFonts w:ascii="黑体" w:hAnsi="黑体" w:eastAsia="黑体"/>
          <w:sz w:val="32"/>
          <w:szCs w:val="32"/>
        </w:rPr>
      </w:pPr>
      <w:r>
        <w:rPr>
          <w:rStyle w:val="10"/>
          <w:rFonts w:hint="eastAsia" w:ascii="黑体" w:hAnsi="黑体" w:eastAsia="黑体"/>
          <w:b w:val="0"/>
          <w:sz w:val="32"/>
          <w:szCs w:val="32"/>
        </w:rPr>
        <w:t>二、政府信息公开的组织领导和制度建设情况</w:t>
      </w:r>
    </w:p>
    <w:p>
      <w:pPr>
        <w:pStyle w:val="8"/>
        <w:shd w:val="clear" w:color="auto" w:fill="FFFFFF"/>
        <w:spacing w:before="0" w:beforeAutospacing="0" w:after="0" w:afterAutospacing="0" w:line="560" w:lineRule="exact"/>
        <w:ind w:firstLine="480"/>
        <w:jc w:val="both"/>
        <w:rPr>
          <w:rFonts w:ascii="楷体" w:hAnsi="楷体" w:eastAsia="楷体"/>
          <w:b/>
          <w:sz w:val="32"/>
          <w:szCs w:val="32"/>
        </w:rPr>
      </w:pPr>
      <w:r>
        <w:rPr>
          <w:rStyle w:val="10"/>
          <w:rFonts w:hint="eastAsia" w:ascii="楷体" w:hAnsi="楷体" w:eastAsia="楷体"/>
          <w:b w:val="0"/>
          <w:sz w:val="32"/>
          <w:szCs w:val="32"/>
        </w:rPr>
        <w:t>（一）加强组织领导</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厅主要领导高度重视信息公开工作，把政府信息公开摆在重要议事日程，将政务公开作为自我约束和提升政府公信力的重要内容，亲自部署、亲自督导，将政府信息公开与业务工作同步开展，及时查摆不足，抓好落实。分管厅领导亲自抓，多次召开专题会议，研究年度政务公开工作要点推进落实情况，</w:t>
      </w:r>
      <w:r>
        <w:rPr>
          <w:rFonts w:ascii="仿宋" w:hAnsi="仿宋" w:eastAsia="仿宋"/>
          <w:sz w:val="32"/>
          <w:szCs w:val="32"/>
        </w:rPr>
        <w:t>不断推进</w:t>
      </w:r>
      <w:r>
        <w:rPr>
          <w:rFonts w:hint="eastAsia" w:ascii="仿宋" w:hAnsi="仿宋" w:eastAsia="仿宋"/>
          <w:sz w:val="32"/>
          <w:szCs w:val="32"/>
        </w:rPr>
        <w:t>行政权力事项、</w:t>
      </w:r>
      <w:r>
        <w:rPr>
          <w:rFonts w:ascii="仿宋" w:hAnsi="仿宋" w:eastAsia="仿宋"/>
          <w:sz w:val="32"/>
          <w:szCs w:val="32"/>
        </w:rPr>
        <w:t>科技管理、资金使用、公共服务等重点领域</w:t>
      </w:r>
      <w:r>
        <w:rPr>
          <w:rFonts w:hint="eastAsia" w:ascii="仿宋" w:hAnsi="仿宋" w:eastAsia="仿宋"/>
          <w:sz w:val="32"/>
          <w:szCs w:val="32"/>
        </w:rPr>
        <w:t>、重要事项</w:t>
      </w:r>
      <w:r>
        <w:rPr>
          <w:rFonts w:ascii="仿宋" w:hAnsi="仿宋" w:eastAsia="仿宋"/>
          <w:sz w:val="32"/>
          <w:szCs w:val="32"/>
        </w:rPr>
        <w:t>信息公开</w:t>
      </w:r>
      <w:r>
        <w:rPr>
          <w:rFonts w:hint="eastAsia" w:ascii="仿宋" w:hAnsi="仿宋" w:eastAsia="仿宋"/>
          <w:sz w:val="32"/>
          <w:szCs w:val="32"/>
        </w:rPr>
        <w:t>。厅政府信息公开办安排专人负责，明确各处室、单位目标责任，督导工作要点任务落实。有关部门协同配合，落实部门一把手责任制，持续抓、抓全面，加大推进政务公开力度，把公开透明的要求贯穿于政务服务各个环节，信息公开工作始终保持良性推进，全厅形成了层层传导压力、层层落实责任的良好局面。</w:t>
      </w:r>
    </w:p>
    <w:p>
      <w:pPr>
        <w:pStyle w:val="8"/>
        <w:shd w:val="clear" w:color="auto" w:fill="FFFFFF"/>
        <w:spacing w:before="0" w:beforeAutospacing="0" w:after="0" w:afterAutospacing="0"/>
        <w:jc w:val="center"/>
        <w:rPr>
          <w:rFonts w:ascii="仿宋" w:hAnsi="仿宋" w:eastAsia="仿宋"/>
          <w:sz w:val="32"/>
          <w:szCs w:val="32"/>
        </w:rPr>
      </w:pPr>
      <w:r>
        <w:rPr>
          <w:rFonts w:ascii="仿宋" w:hAnsi="仿宋" w:eastAsia="仿宋"/>
          <w:sz w:val="32"/>
          <w:szCs w:val="32"/>
        </w:rPr>
        <w:drawing>
          <wp:inline distT="0" distB="0" distL="0" distR="0">
            <wp:extent cx="5759450" cy="4319270"/>
            <wp:effectExtent l="0" t="0" r="0" b="0"/>
            <wp:docPr id="18" name="图片 18" descr="C:\Users\bgs\AppData\Local\Temp\WeChat Files\609ed41271695b935658ae992f29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bgs\AppData\Local\Temp\WeChat Files\609ed41271695b935658ae992f2996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59450" cy="4319588"/>
                    </a:xfrm>
                    <a:prstGeom prst="rect">
                      <a:avLst/>
                    </a:prstGeom>
                    <a:noFill/>
                    <a:ln>
                      <a:noFill/>
                    </a:ln>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图1.荣获第十二届山东省对外传播奖先进集体</w:t>
      </w:r>
    </w:p>
    <w:p>
      <w:pPr>
        <w:pStyle w:val="8"/>
        <w:shd w:val="clear" w:color="auto" w:fill="FFFFFF"/>
        <w:spacing w:before="0" w:beforeAutospacing="0" w:after="0" w:afterAutospacing="0"/>
        <w:jc w:val="center"/>
        <w:rPr>
          <w:rFonts w:ascii="仿宋" w:hAnsi="仿宋" w:eastAsia="仿宋"/>
          <w:sz w:val="28"/>
          <w:szCs w:val="28"/>
        </w:rPr>
      </w:pPr>
      <w:r>
        <w:drawing>
          <wp:inline distT="0" distB="0" distL="0" distR="0">
            <wp:extent cx="5704205" cy="3486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12974" cy="3491261"/>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图2.荣获大众日报新闻报道先进集体</w:t>
      </w:r>
    </w:p>
    <w:p>
      <w:pPr>
        <w:pStyle w:val="8"/>
        <w:shd w:val="clear" w:color="auto" w:fill="FFFFFF"/>
        <w:spacing w:before="0" w:beforeAutospacing="0" w:after="0" w:afterAutospacing="0" w:line="560" w:lineRule="exact"/>
        <w:ind w:firstLine="480"/>
        <w:jc w:val="both"/>
        <w:rPr>
          <w:rFonts w:ascii="楷体" w:hAnsi="楷体" w:eastAsia="楷体"/>
          <w:sz w:val="32"/>
          <w:szCs w:val="32"/>
        </w:rPr>
      </w:pPr>
      <w:r>
        <w:rPr>
          <w:rStyle w:val="10"/>
          <w:rFonts w:hint="eastAsia" w:ascii="楷体" w:hAnsi="楷体" w:eastAsia="楷体"/>
          <w:b w:val="0"/>
          <w:sz w:val="32"/>
          <w:szCs w:val="32"/>
        </w:rPr>
        <w:t>（二）健全工作制度</w:t>
      </w:r>
    </w:p>
    <w:p>
      <w:pPr>
        <w:pStyle w:val="2"/>
        <w:shd w:val="clear" w:color="auto" w:fill="FFFFFF"/>
        <w:spacing w:before="0" w:beforeAutospacing="0" w:after="0" w:afterAutospacing="0" w:line="560" w:lineRule="exact"/>
        <w:ind w:firstLine="640" w:firstLineChars="200"/>
        <w:rPr>
          <w:rFonts w:ascii="仿宋" w:hAnsi="仿宋" w:eastAsia="仿宋"/>
          <w:b w:val="0"/>
          <w:sz w:val="32"/>
          <w:szCs w:val="32"/>
        </w:rPr>
      </w:pPr>
      <w:r>
        <w:rPr>
          <w:rFonts w:hint="eastAsia" w:ascii="仿宋" w:hAnsi="仿宋" w:eastAsia="仿宋"/>
          <w:b w:val="0"/>
          <w:sz w:val="32"/>
          <w:szCs w:val="32"/>
        </w:rPr>
        <w:t>根据厅业务工作开展情况，及时调整更新《省科技厅政府信息公开目录》和《省科技厅政府信息公开指南》，进一步明确了信息公开范围、时限要求等。不断完善科研项目和资金信息公开制度，合理编制项目指南并公开发布，制定《</w:t>
      </w:r>
      <w:r>
        <w:fldChar w:fldCharType="begin"/>
      </w:r>
      <w:r>
        <w:instrText xml:space="preserve"> HYPERLINK "http://www.sdstc.gov.cn/page/subpage/detail.html?id=9bd0d10b25d54efdb08c7d622ab8b232" \t "_blank" \o "《山东省国际科技合作基地管理办法》政策解读" </w:instrText>
      </w:r>
      <w:r>
        <w:fldChar w:fldCharType="separate"/>
      </w:r>
      <w:r>
        <w:rPr>
          <w:rFonts w:hint="eastAsia" w:ascii="仿宋" w:hAnsi="仿宋" w:eastAsia="仿宋"/>
          <w:b w:val="0"/>
          <w:sz w:val="32"/>
          <w:szCs w:val="32"/>
        </w:rPr>
        <w:t>山东省国际科技合作基地管理办法</w:t>
      </w:r>
      <w:r>
        <w:rPr>
          <w:rFonts w:hint="eastAsia" w:ascii="仿宋" w:hAnsi="仿宋" w:eastAsia="仿宋"/>
          <w:b w:val="0"/>
          <w:sz w:val="32"/>
          <w:szCs w:val="32"/>
        </w:rPr>
        <w:fldChar w:fldCharType="end"/>
      </w:r>
      <w:r>
        <w:rPr>
          <w:rFonts w:hint="eastAsia" w:ascii="仿宋" w:hAnsi="仿宋" w:eastAsia="仿宋"/>
          <w:b w:val="0"/>
          <w:sz w:val="32"/>
          <w:szCs w:val="32"/>
        </w:rPr>
        <w:t>》《关于进一步鼓励和规范山东省社会力量设立科学技术奖的指导意见》等管理办法，完善科研项目及科研成果管理制度，加强资金使用情况公开，形成科研项目评审、立项、验收、预决算、监督检查等全过程信息公开。</w:t>
      </w:r>
    </w:p>
    <w:p>
      <w:pPr>
        <w:pStyle w:val="8"/>
        <w:shd w:val="clear" w:color="auto" w:fill="FFFFFF"/>
        <w:spacing w:before="0" w:beforeAutospacing="0" w:after="0" w:afterAutospacing="0"/>
        <w:jc w:val="center"/>
        <w:rPr>
          <w:rFonts w:ascii="仿宋" w:hAnsi="仿宋" w:eastAsia="仿宋"/>
          <w:sz w:val="28"/>
          <w:szCs w:val="28"/>
        </w:rPr>
      </w:pPr>
      <w:r>
        <w:drawing>
          <wp:inline distT="0" distB="0" distL="0" distR="0">
            <wp:extent cx="5486400" cy="2635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stretch>
                      <a:fillRect/>
                    </a:stretch>
                  </pic:blipFill>
                  <pic:spPr>
                    <a:xfrm>
                      <a:off x="0" y="0"/>
                      <a:ext cx="5486400" cy="2635885"/>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图3.科技厅政务网站及时发布有关法规文件</w:t>
      </w:r>
    </w:p>
    <w:p>
      <w:pPr>
        <w:pStyle w:val="8"/>
        <w:shd w:val="clear" w:color="auto" w:fill="FFFFFF"/>
        <w:spacing w:before="0" w:beforeAutospacing="0" w:after="0" w:afterAutospacing="0" w:line="560" w:lineRule="exact"/>
        <w:ind w:firstLine="640" w:firstLineChars="200"/>
        <w:jc w:val="both"/>
        <w:rPr>
          <w:rFonts w:ascii="黑体" w:hAnsi="黑体" w:eastAsia="黑体"/>
          <w:sz w:val="32"/>
          <w:szCs w:val="32"/>
        </w:rPr>
      </w:pPr>
      <w:r>
        <w:rPr>
          <w:rStyle w:val="10"/>
          <w:rFonts w:hint="eastAsia" w:ascii="黑体" w:hAnsi="黑体" w:eastAsia="黑体"/>
          <w:b w:val="0"/>
          <w:sz w:val="32"/>
          <w:szCs w:val="32"/>
        </w:rPr>
        <w:t>三、发布解读、回应社会关切以及互动交流情况</w:t>
      </w:r>
    </w:p>
    <w:p>
      <w:pPr>
        <w:pStyle w:val="8"/>
        <w:shd w:val="clear" w:color="auto" w:fill="FFFFFF"/>
        <w:spacing w:before="0" w:beforeAutospacing="0" w:after="0" w:afterAutospacing="0" w:line="560" w:lineRule="exact"/>
        <w:ind w:firstLine="480"/>
        <w:jc w:val="both"/>
        <w:rPr>
          <w:rFonts w:ascii="楷体" w:hAnsi="楷体" w:eastAsia="楷体"/>
          <w:sz w:val="32"/>
          <w:szCs w:val="32"/>
        </w:rPr>
      </w:pPr>
      <w:r>
        <w:rPr>
          <w:rStyle w:val="10"/>
          <w:rFonts w:hint="eastAsia" w:ascii="楷体" w:hAnsi="楷体" w:eastAsia="楷体"/>
          <w:b w:val="0"/>
          <w:sz w:val="32"/>
          <w:szCs w:val="32"/>
        </w:rPr>
        <w:t>（一）加强创新政策解读和宣传，以公开助力促改革、调结构</w:t>
      </w:r>
    </w:p>
    <w:p>
      <w:pPr>
        <w:pStyle w:val="2"/>
        <w:shd w:val="clear" w:color="auto" w:fill="FFFFFF"/>
        <w:spacing w:before="0" w:beforeAutospacing="0" w:after="0" w:afterAutospacing="0" w:line="560" w:lineRule="exact"/>
        <w:ind w:firstLine="640" w:firstLineChars="200"/>
        <w:rPr>
          <w:rFonts w:ascii="仿宋" w:hAnsi="仿宋" w:eastAsia="仿宋"/>
          <w:b w:val="0"/>
          <w:sz w:val="32"/>
          <w:szCs w:val="32"/>
        </w:rPr>
      </w:pPr>
      <w:r>
        <w:rPr>
          <w:rFonts w:hint="eastAsia" w:ascii="仿宋" w:hAnsi="仿宋" w:eastAsia="仿宋"/>
          <w:b w:val="0"/>
          <w:sz w:val="32"/>
          <w:szCs w:val="32"/>
        </w:rPr>
        <w:t>一是加强重要决策事项公开。在深化科技体制改革过程中，为提高科技工作透明度，对科技管理服务工作进行了全程公开，重点加强了科技计划管理和科技资金等公众关注度高、社会反响大的科技工作公开力度，2018年发布的《支持青年科技人才创新的若干举措》《山东省科研基础设施和科研仪器开放共享管理办法》等方案得到社会各界的广泛好评。为科学合理编制科技规划和计划指南，围绕我省重点产业关键技术需求，通过网络平台广泛征求吸纳专家、企业代表等广大科技工作者意见，在科技计划项目实施过程中，重点加强了计划项目评审、立项、资金分配等关键环节公开力度，利用厅网站、微信微博、大众日报、山东卫视等媒体面向全社会进行公告，第一时间向广大科技工作者公开相关信息。在厅网站实时公示各项项目的评标和评审专家名单，公开专家评分和计分方法，公示拟立项项目和立项依据，在厅网站、微信微博等媒体上公示评审结果，公开资金到位及执行情况。</w:t>
      </w:r>
    </w:p>
    <w:p>
      <w:pPr>
        <w:pStyle w:val="2"/>
        <w:shd w:val="clear" w:color="auto" w:fill="FFFFFF"/>
        <w:spacing w:before="0" w:beforeAutospacing="0" w:after="0" w:afterAutospacing="0" w:line="560" w:lineRule="exact"/>
        <w:ind w:firstLine="640" w:firstLineChars="200"/>
        <w:rPr>
          <w:rFonts w:ascii="仿宋" w:hAnsi="仿宋" w:eastAsia="仿宋"/>
          <w:b w:val="0"/>
          <w:sz w:val="32"/>
          <w:szCs w:val="32"/>
        </w:rPr>
      </w:pPr>
      <w:r>
        <w:rPr>
          <w:rFonts w:hint="eastAsia" w:ascii="仿宋" w:hAnsi="仿宋" w:eastAsia="仿宋"/>
          <w:b w:val="0"/>
          <w:sz w:val="32"/>
          <w:szCs w:val="32"/>
        </w:rPr>
        <w:t>二是认真落实新闻发布会制度。厅主要负责同志通过新闻发布会、在线访谈等方式带头宣讲政策,主管负责同志、相关处室结合实际工作积极参与政策宣讲。联合省直有关部门举办新闻发布会，对改革意见、科技规划等重要创新政策进行全面深入解读，全年重点组织策划“解读关于做好人才支撑新旧动能转换工作的意见”等6次新闻发布会，参加“以科技创新 支持经济高质量发展”等5次在线访谈节目，中央和省主流媒体进行了系统、广泛、多层次的政策宣传报道。</w:t>
      </w:r>
    </w:p>
    <w:p>
      <w:pPr>
        <w:pStyle w:val="8"/>
        <w:shd w:val="clear" w:color="auto" w:fill="FFFFFF"/>
        <w:spacing w:before="0" w:beforeAutospacing="0" w:after="0" w:afterAutospacing="0"/>
        <w:jc w:val="center"/>
        <w:rPr>
          <w:rFonts w:ascii="仿宋" w:hAnsi="仿宋" w:eastAsia="仿宋"/>
          <w:sz w:val="28"/>
          <w:szCs w:val="28"/>
        </w:rPr>
      </w:pPr>
      <w:r>
        <w:drawing>
          <wp:inline distT="0" distB="0" distL="0" distR="0">
            <wp:extent cx="5676900" cy="39846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a:picLocks noChangeAspect="1"/>
                    </pic:cNvPicPr>
                  </pic:nvPicPr>
                  <pic:blipFill>
                    <a:blip r:embed="rId8"/>
                    <a:stretch>
                      <a:fillRect/>
                    </a:stretch>
                  </pic:blipFill>
                  <pic:spPr>
                    <a:xfrm>
                      <a:off x="0" y="0"/>
                      <a:ext cx="5677200" cy="3985200"/>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图4. 联合省直有关部门举办多场新闻发布会</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三是加强政策宣讲。</w:t>
      </w:r>
      <w:r>
        <w:rPr>
          <w:rFonts w:ascii="仿宋" w:hAnsi="仿宋" w:eastAsia="仿宋"/>
          <w:sz w:val="32"/>
          <w:szCs w:val="32"/>
        </w:rPr>
        <w:t>凡是我省出台的科技创新政策，我厅都及时制作政策解读材料和方案，厅网站</w:t>
      </w:r>
      <w:r>
        <w:rPr>
          <w:rFonts w:hint="eastAsia" w:ascii="仿宋" w:hAnsi="仿宋" w:eastAsia="仿宋"/>
          <w:sz w:val="32"/>
          <w:szCs w:val="32"/>
        </w:rPr>
        <w:t>设置</w:t>
      </w:r>
      <w:r>
        <w:rPr>
          <w:rFonts w:ascii="仿宋" w:hAnsi="仿宋" w:eastAsia="仿宋"/>
          <w:sz w:val="32"/>
          <w:szCs w:val="32"/>
        </w:rPr>
        <w:t>专门栏目发布政策法规解读。同时，为加强创新政策的落实落地，依靠厅</w:t>
      </w:r>
      <w:r>
        <w:rPr>
          <w:rFonts w:hint="eastAsia" w:ascii="仿宋" w:hAnsi="仿宋" w:eastAsia="仿宋"/>
          <w:sz w:val="32"/>
          <w:szCs w:val="32"/>
        </w:rPr>
        <w:t>网站、</w:t>
      </w:r>
      <w:r>
        <w:rPr>
          <w:rFonts w:ascii="仿宋" w:hAnsi="仿宋" w:eastAsia="仿宋"/>
          <w:sz w:val="32"/>
          <w:szCs w:val="32"/>
        </w:rPr>
        <w:t>微信公众号（</w:t>
      </w:r>
      <w:r>
        <w:rPr>
          <w:rFonts w:hint="eastAsia" w:ascii="仿宋" w:hAnsi="仿宋" w:eastAsia="仿宋"/>
          <w:sz w:val="32"/>
          <w:szCs w:val="32"/>
        </w:rPr>
        <w:t>山</w:t>
      </w:r>
      <w:r>
        <w:rPr>
          <w:rFonts w:ascii="仿宋" w:hAnsi="仿宋" w:eastAsia="仿宋"/>
          <w:sz w:val="32"/>
          <w:szCs w:val="32"/>
        </w:rPr>
        <w:t>东科技）的宣传平台，通过</w:t>
      </w:r>
      <w:r>
        <w:rPr>
          <w:rFonts w:hint="eastAsia" w:ascii="仿宋" w:hAnsi="仿宋" w:eastAsia="仿宋"/>
          <w:sz w:val="32"/>
          <w:szCs w:val="32"/>
        </w:rPr>
        <w:t>新闻报道、</w:t>
      </w:r>
      <w:r>
        <w:rPr>
          <w:rFonts w:ascii="仿宋" w:hAnsi="仿宋" w:eastAsia="仿宋"/>
          <w:sz w:val="32"/>
          <w:szCs w:val="32"/>
        </w:rPr>
        <w:t>制作专题解读等形式，</w:t>
      </w:r>
      <w:r>
        <w:rPr>
          <w:rFonts w:hint="eastAsia" w:ascii="仿宋" w:hAnsi="仿宋" w:eastAsia="仿宋"/>
          <w:sz w:val="32"/>
          <w:szCs w:val="32"/>
        </w:rPr>
        <w:t>及时</w:t>
      </w:r>
      <w:r>
        <w:rPr>
          <w:rFonts w:ascii="仿宋" w:hAnsi="仿宋" w:eastAsia="仿宋"/>
          <w:sz w:val="32"/>
          <w:szCs w:val="32"/>
        </w:rPr>
        <w:t>推送系列政策解读文案，</w:t>
      </w:r>
      <w:r>
        <w:rPr>
          <w:rFonts w:hint="eastAsia" w:ascii="仿宋" w:hAnsi="仿宋" w:eastAsia="仿宋"/>
          <w:sz w:val="32"/>
          <w:szCs w:val="32"/>
        </w:rPr>
        <w:t>丰富政策解读方式，</w:t>
      </w:r>
      <w:r>
        <w:rPr>
          <w:rFonts w:ascii="仿宋" w:hAnsi="仿宋" w:eastAsia="仿宋"/>
          <w:sz w:val="32"/>
          <w:szCs w:val="32"/>
        </w:rPr>
        <w:t>通过通俗易懂的语言</w:t>
      </w:r>
      <w:r>
        <w:rPr>
          <w:rFonts w:hint="eastAsia" w:ascii="仿宋" w:hAnsi="仿宋" w:eastAsia="仿宋"/>
          <w:sz w:val="32"/>
          <w:szCs w:val="32"/>
        </w:rPr>
        <w:t>、图片、表格、动漫等形式</w:t>
      </w:r>
      <w:r>
        <w:rPr>
          <w:rFonts w:ascii="仿宋" w:hAnsi="仿宋" w:eastAsia="仿宋"/>
          <w:sz w:val="32"/>
          <w:szCs w:val="32"/>
        </w:rPr>
        <w:t>来向公众宣传创新政策</w:t>
      </w:r>
      <w:r>
        <w:rPr>
          <w:rFonts w:hint="eastAsia" w:ascii="仿宋" w:hAnsi="仿宋" w:eastAsia="仿宋"/>
          <w:sz w:val="32"/>
          <w:szCs w:val="32"/>
        </w:rPr>
        <w:t>；同时，</w:t>
      </w:r>
      <w:r>
        <w:rPr>
          <w:rFonts w:ascii="仿宋" w:hAnsi="仿宋" w:eastAsia="仿宋"/>
          <w:sz w:val="32"/>
          <w:szCs w:val="32"/>
        </w:rPr>
        <w:t>加强</w:t>
      </w:r>
      <w:r>
        <w:rPr>
          <w:rFonts w:hint="eastAsia" w:ascii="仿宋" w:hAnsi="仿宋" w:eastAsia="仿宋"/>
          <w:sz w:val="32"/>
          <w:szCs w:val="32"/>
        </w:rPr>
        <w:t>与</w:t>
      </w:r>
      <w:r>
        <w:rPr>
          <w:rFonts w:ascii="仿宋" w:hAnsi="仿宋" w:eastAsia="仿宋"/>
          <w:sz w:val="32"/>
          <w:szCs w:val="32"/>
        </w:rPr>
        <w:t>媒体的合作</w:t>
      </w:r>
      <w:r>
        <w:rPr>
          <w:rFonts w:hint="eastAsia" w:ascii="仿宋" w:hAnsi="仿宋" w:eastAsia="仿宋"/>
          <w:sz w:val="32"/>
          <w:szCs w:val="32"/>
        </w:rPr>
        <w:t>，</w:t>
      </w:r>
      <w:r>
        <w:rPr>
          <w:rFonts w:ascii="仿宋" w:hAnsi="仿宋" w:eastAsia="仿宋"/>
          <w:sz w:val="32"/>
          <w:szCs w:val="32"/>
        </w:rPr>
        <w:t>我厅积极与</w:t>
      </w:r>
      <w:r>
        <w:rPr>
          <w:rFonts w:hint="eastAsia" w:ascii="仿宋" w:hAnsi="仿宋" w:eastAsia="仿宋"/>
          <w:sz w:val="32"/>
          <w:szCs w:val="32"/>
        </w:rPr>
        <w:t>大众日报、山东卫视</w:t>
      </w:r>
      <w:r>
        <w:rPr>
          <w:rFonts w:ascii="仿宋" w:hAnsi="仿宋" w:eastAsia="仿宋"/>
          <w:sz w:val="32"/>
          <w:szCs w:val="32"/>
        </w:rPr>
        <w:t>等媒介开展合作，不定期发布科技工作动态和创新政策解读</w:t>
      </w:r>
      <w:r>
        <w:rPr>
          <w:rFonts w:hint="eastAsia" w:ascii="仿宋" w:hAnsi="仿宋" w:eastAsia="仿宋"/>
          <w:sz w:val="32"/>
          <w:szCs w:val="32"/>
        </w:rPr>
        <w:t>；此外，</w:t>
      </w:r>
      <w:r>
        <w:rPr>
          <w:rFonts w:ascii="仿宋" w:hAnsi="仿宋" w:eastAsia="仿宋"/>
          <w:sz w:val="32"/>
          <w:szCs w:val="32"/>
        </w:rPr>
        <w:t>在全省范围内组织开展政策宣讲巡回活动，巡回宣讲培训会巡回宣讲会引起人民日报、各地市主流媒体、社会各界人士等的高度关注。</w:t>
      </w:r>
    </w:p>
    <w:p>
      <w:pPr>
        <w:pStyle w:val="8"/>
        <w:shd w:val="clear" w:color="auto" w:fill="FFFFFF"/>
        <w:spacing w:before="0" w:beforeAutospacing="0" w:after="0" w:afterAutospacing="0"/>
        <w:jc w:val="center"/>
        <w:rPr>
          <w:rFonts w:ascii="仿宋" w:hAnsi="仿宋" w:eastAsia="仿宋"/>
          <w:sz w:val="28"/>
          <w:szCs w:val="28"/>
        </w:rPr>
      </w:pPr>
      <w:r>
        <w:drawing>
          <wp:inline distT="0" distB="0" distL="0" distR="0">
            <wp:extent cx="5486400" cy="33375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486400" cy="3337560"/>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图5.科技厅网站政务公开专栏</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四是及时调整公开发布权力清单和行政权力事项。按照省政府关于行政权力事项公开要求，梳理完成并及时公开发布行政审批事项目录清单、行政权力清单和政府责任清单事项。2018年，行政权力事项取消1项、下放1项、修改1项。同时，重点做好行政许可事项网上运行工作，涉及我厅实验动物生产、使用行政许可事项在网上统一运行办理，行政许可事项办事效率明显提高。我厅通过省级政务服务平台共接到的许可申请均按期办结，实现了全程网办率100%,简政放权、放管结合、优化服务工作取得明显效果。</w:t>
      </w:r>
    </w:p>
    <w:p>
      <w:pPr>
        <w:pStyle w:val="8"/>
        <w:shd w:val="clear" w:color="auto" w:fill="FFFFFF"/>
        <w:spacing w:before="0" w:beforeAutospacing="0" w:after="0" w:afterAutospacing="0" w:line="560" w:lineRule="exact"/>
        <w:ind w:firstLine="482"/>
        <w:jc w:val="both"/>
        <w:rPr>
          <w:rFonts w:ascii="楷体" w:hAnsi="楷体" w:eastAsia="楷体"/>
          <w:sz w:val="32"/>
          <w:szCs w:val="32"/>
        </w:rPr>
      </w:pPr>
      <w:r>
        <w:rPr>
          <w:rStyle w:val="10"/>
          <w:rFonts w:hint="eastAsia" w:ascii="楷体" w:hAnsi="楷体" w:eastAsia="楷体"/>
          <w:b w:val="0"/>
          <w:sz w:val="32"/>
          <w:szCs w:val="32"/>
        </w:rPr>
        <w:t>（二）回应社会关切，加强互动交流</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省科技厅顺应社会公众对政府工作知情、参与和监督意识不断增强的新形势，不断拓展政务信息发布和与公众交流新渠道，进一步加强政府与公众互动交流，回应社会关切，提升政府公信力。</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（1）充分发挥新媒体作用</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将政务微博、微信公众号作为联系沟通科技人员和便民服务的重要平台，发挥微博、微信传播快、覆盖广、影响大的特点，加快推进在信息公开、“互联网+科技服务”等方面的深度应用，不断推动科技部门由研发管理向创新服务转变。同时，注重发挥新媒体传播优势，切实提高科技创新舆论传播力、引导力、影响力、公信力。“山东科技”（微信号：SDKJFB）订阅人数已超过2.18万人，累计推送消息1505条。</w:t>
      </w:r>
    </w:p>
    <w:p>
      <w:pPr>
        <w:pStyle w:val="8"/>
        <w:shd w:val="clear" w:color="auto" w:fill="FFFFFF"/>
        <w:spacing w:before="0" w:beforeAutospacing="0" w:after="0" w:afterAutospacing="0"/>
        <w:jc w:val="center"/>
        <w:rPr>
          <w:rFonts w:ascii="仿宋" w:hAnsi="仿宋" w:eastAsia="仿宋"/>
          <w:sz w:val="28"/>
          <w:szCs w:val="28"/>
        </w:rPr>
      </w:pPr>
      <w:r>
        <w:drawing>
          <wp:inline distT="0" distB="0" distL="0" distR="0">
            <wp:extent cx="5486400" cy="3703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486400" cy="3703320"/>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图6.科技厅政务微博</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（2）加大力度推进政务公开平台建设</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首先完成对厅政务网站升级改版。着眼于从更高层次推动网站高效运行，进一步强化措施，提升网站建设和管理水平。进一步优化栏目设置，突出宣传重点，在增强稿件时效性、可读性上下功夫，提高宣传工作的亲和力，扩大网站影响。进一步拓宽信息来源渠道，提高网站信息质量。畅通互动渠道,更加方便科技人员咨询，接受广大群众工作建议。建立互动问答栏目，安排专人定期接收，提供全程在线咨询服务,及时解答申请人疑问，实现网上受理、网上反馈、办理进度和办理结果网上实时查询，畅通群众的诉求渠道，及时回应社会关注度高的热点问题；增设“查询”功能，方便大众及时查找到需求信息；提高对厅网站“意见箱”群众来信回复效率，及时解疑释惑。</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仿宋" w:hAnsi="仿宋" w:eastAsia="仿宋"/>
          <w:sz w:val="32"/>
          <w:szCs w:val="32"/>
        </w:rPr>
        <w:t>其次，加强信息公开平台建设。科技厅进一步推进科技云平台建设，在整合优化科技计划管理信息系统等基础上，开发并上线了6个业务系统，运用云计算、大数据先进技术，优化科技信息服务功能，提高科技信息服务能力，用户量达到85000余个，业务办理量达到50000余条，各类科技计划、成果、奖励、人才、创新平台等科技工作都能够在网上进行办理，真正实现了便捷、快速、高效。</w:t>
      </w:r>
    </w:p>
    <w:p>
      <w:pPr>
        <w:pStyle w:val="8"/>
        <w:shd w:val="clear" w:color="auto" w:fill="FFFFFF"/>
        <w:spacing w:before="0" w:beforeAutospacing="0" w:after="0" w:afterAutospacing="0"/>
        <w:ind w:firstLine="482"/>
        <w:jc w:val="both"/>
        <w:rPr>
          <w:rFonts w:ascii="仿宋" w:hAnsi="仿宋" w:eastAsia="仿宋"/>
          <w:sz w:val="28"/>
          <w:szCs w:val="28"/>
        </w:rPr>
      </w:pPr>
      <w:r>
        <w:drawing>
          <wp:inline distT="0" distB="0" distL="0" distR="0">
            <wp:extent cx="5486400" cy="35388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486400" cy="3538855"/>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图7.山东省科技云平台</w:t>
      </w:r>
    </w:p>
    <w:p>
      <w:pPr>
        <w:pStyle w:val="8"/>
        <w:shd w:val="clear" w:color="auto" w:fill="FFFFFF"/>
        <w:spacing w:before="0" w:beforeAutospacing="0" w:after="0" w:afterAutospacing="0" w:line="560" w:lineRule="exact"/>
        <w:ind w:firstLine="640" w:firstLineChars="200"/>
        <w:jc w:val="both"/>
        <w:rPr>
          <w:rFonts w:ascii="仿宋" w:hAnsi="仿宋" w:eastAsia="仿宋"/>
          <w:sz w:val="32"/>
          <w:szCs w:val="32"/>
        </w:rPr>
      </w:pPr>
    </w:p>
    <w:p>
      <w:pPr>
        <w:pStyle w:val="8"/>
        <w:shd w:val="clear" w:color="auto" w:fill="FFFFFF"/>
        <w:spacing w:before="0" w:beforeAutospacing="0" w:after="0" w:afterAutospacing="0"/>
        <w:jc w:val="center"/>
        <w:rPr>
          <w:rFonts w:ascii="仿宋" w:hAnsi="仿宋" w:eastAsia="仿宋"/>
          <w:sz w:val="28"/>
          <w:szCs w:val="28"/>
        </w:rPr>
      </w:pPr>
      <w:r>
        <w:rPr>
          <w:rFonts w:ascii="仿宋" w:hAnsi="仿宋" w:eastAsia="仿宋"/>
          <w:sz w:val="28"/>
          <w:szCs w:val="28"/>
        </w:rPr>
        <w:drawing>
          <wp:inline distT="0" distB="0" distL="0" distR="0">
            <wp:extent cx="2494915" cy="4434840"/>
            <wp:effectExtent l="0" t="0" r="635" b="3810"/>
            <wp:docPr id="15" name="图片 15" descr="C:\Users\bgs\AppData\Local\Temp\WeChat Files\8d41caf511cde92fea8ceead149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bgs\AppData\Local\Temp\WeChat Files\8d41caf511cde92fea8ceead14945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6287" cy="4437842"/>
                    </a:xfrm>
                    <a:prstGeom prst="rect">
                      <a:avLst/>
                    </a:prstGeom>
                    <a:noFill/>
                    <a:ln>
                      <a:noFill/>
                    </a:ln>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图8.科技厅政务微信</w:t>
      </w:r>
    </w:p>
    <w:p>
      <w:pPr>
        <w:pStyle w:val="8"/>
        <w:shd w:val="clear" w:color="auto" w:fill="FFFFFF"/>
        <w:spacing w:before="0" w:beforeAutospacing="0" w:after="0" w:afterAutospacing="0"/>
        <w:jc w:val="center"/>
        <w:rPr>
          <w:rFonts w:ascii="仿宋" w:hAnsi="仿宋" w:eastAsia="仿宋"/>
          <w:sz w:val="28"/>
          <w:szCs w:val="28"/>
        </w:rPr>
      </w:pPr>
      <w:r>
        <w:drawing>
          <wp:inline distT="0" distB="0" distL="0" distR="0">
            <wp:extent cx="5486400" cy="338391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486400" cy="3383915"/>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图9.科技厅网站政务公开“互动问答”</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（3）积极参与省政府“阳光政务热线”</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厅领导及相关人员先后做客山东人民广播电视台，接受公众咨询，解答全省科技成果推广政策、科技成果转化、科技奖励等方面问题。</w:t>
      </w:r>
    </w:p>
    <w:p>
      <w:pPr>
        <w:pStyle w:val="8"/>
        <w:shd w:val="clear" w:color="auto" w:fill="FFFFFF"/>
        <w:spacing w:before="0" w:beforeAutospacing="0" w:after="0" w:afterAutospacing="0"/>
        <w:jc w:val="center"/>
        <w:rPr>
          <w:rFonts w:ascii="仿宋" w:hAnsi="仿宋" w:eastAsia="仿宋"/>
          <w:sz w:val="28"/>
          <w:szCs w:val="28"/>
        </w:rPr>
      </w:pPr>
      <w:r>
        <w:rPr>
          <w:rFonts w:ascii="仿宋" w:hAnsi="仿宋" w:eastAsia="仿宋"/>
          <w:sz w:val="28"/>
          <w:szCs w:val="28"/>
        </w:rPr>
        <w:drawing>
          <wp:inline distT="0" distB="0" distL="0" distR="0">
            <wp:extent cx="5391150" cy="410019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4"/>
                    <a:srcRect/>
                    <a:stretch>
                      <a:fillRect/>
                    </a:stretch>
                  </pic:blipFill>
                  <pic:spPr>
                    <a:xfrm>
                      <a:off x="0" y="0"/>
                      <a:ext cx="5390489" cy="4100187"/>
                    </a:xfrm>
                    <a:prstGeom prst="rect">
                      <a:avLst/>
                    </a:prstGeom>
                    <a:noFill/>
                    <a:ln w="9525">
                      <a:noFill/>
                      <a:miter lim="800000"/>
                      <a:headEnd/>
                      <a:tailEnd/>
                    </a:ln>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图10.山东省科技厅做客《阳光政务热线》</w:t>
      </w:r>
    </w:p>
    <w:p>
      <w:pPr>
        <w:pStyle w:val="8"/>
        <w:shd w:val="clear" w:color="auto" w:fill="FFFFFF"/>
        <w:spacing w:before="0" w:beforeAutospacing="0" w:after="0" w:afterAutospacing="0" w:line="560" w:lineRule="exact"/>
        <w:ind w:firstLine="482"/>
        <w:jc w:val="both"/>
        <w:rPr>
          <w:rFonts w:ascii="黑体" w:hAnsi="黑体" w:eastAsia="黑体"/>
          <w:sz w:val="32"/>
          <w:szCs w:val="32"/>
        </w:rPr>
      </w:pPr>
      <w:r>
        <w:rPr>
          <w:rStyle w:val="10"/>
          <w:rFonts w:hint="eastAsia" w:ascii="黑体" w:hAnsi="黑体" w:eastAsia="黑体"/>
          <w:b w:val="0"/>
          <w:sz w:val="32"/>
          <w:szCs w:val="32"/>
        </w:rPr>
        <w:t>四、主动公开政府信息以及平台建设情况</w:t>
      </w:r>
    </w:p>
    <w:p>
      <w:pPr>
        <w:pStyle w:val="8"/>
        <w:shd w:val="clear" w:color="auto" w:fill="FFFFFF"/>
        <w:spacing w:before="0" w:beforeAutospacing="0" w:after="0" w:afterAutospacing="0" w:line="560" w:lineRule="exact"/>
        <w:ind w:firstLine="482"/>
        <w:jc w:val="both"/>
        <w:rPr>
          <w:rFonts w:ascii="楷体" w:hAnsi="楷体" w:eastAsia="楷体"/>
          <w:sz w:val="32"/>
          <w:szCs w:val="32"/>
        </w:rPr>
      </w:pPr>
      <w:r>
        <w:rPr>
          <w:rStyle w:val="10"/>
          <w:rFonts w:hint="eastAsia" w:ascii="楷体" w:hAnsi="楷体" w:eastAsia="楷体"/>
          <w:b w:val="0"/>
          <w:sz w:val="32"/>
          <w:szCs w:val="32"/>
        </w:rPr>
        <w:t>（一）不断拓宽信息公开渠道</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在充分利用厅网站、微信微博等渠道的基础上，充分发挥广播电视、报刊杂志、新闻网站等媒体作用，报道重大科技政策、活动等重要科技信息，为科技创新营造了良好的氛围。2018年以来，在央视“新闻联播”、山东卫视“山东新闻联播”等栏目，累计播出加快创新型省份建设、支撑新旧动能转换方面科技专题新闻报道50多期，在《人民日报》《新华媒体电讯》《科技日报》《大众日报》《齐鲁晚报》等报刊刊载科技新闻和专题报道400多篇。同时，围绕深化科技体制改革、加快创新驱动发展，编印《山东科技简报》等刊物向省人大、政协及民主党派、省工商联对口联系单位报送，增强社会各界对科技工作的了解和支持。2018年，省科技厅共编发各类简报20多份。在图书馆等场所设在政府信息公开查阅点，放置科技信息电子阅读栏，宣讲科技扶贫等政策措施。</w:t>
      </w:r>
    </w:p>
    <w:p>
      <w:pPr>
        <w:pStyle w:val="8"/>
        <w:shd w:val="clear" w:color="auto" w:fill="FFFFFF"/>
        <w:spacing w:before="0" w:beforeAutospacing="0" w:after="0" w:afterAutospacing="0"/>
        <w:jc w:val="center"/>
        <w:rPr>
          <w:rFonts w:ascii="仿宋" w:hAnsi="仿宋" w:eastAsia="仿宋"/>
          <w:sz w:val="28"/>
          <w:szCs w:val="28"/>
        </w:rPr>
      </w:pPr>
      <w:r>
        <w:rPr>
          <w:rFonts w:ascii="仿宋" w:hAnsi="仿宋" w:eastAsia="仿宋"/>
          <w:sz w:val="28"/>
          <w:szCs w:val="28"/>
        </w:rPr>
        <w:drawing>
          <wp:inline distT="0" distB="0" distL="0" distR="0">
            <wp:extent cx="3133725" cy="5558790"/>
            <wp:effectExtent l="0" t="0" r="0" b="0"/>
            <wp:docPr id="4" name="图片 4" descr="1519699017501073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1969901750107357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35191" cy="5561829"/>
                    </a:xfrm>
                    <a:prstGeom prst="rect">
                      <a:avLst/>
                    </a:prstGeom>
                    <a:noFill/>
                    <a:ln>
                      <a:noFill/>
                    </a:ln>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图11.山东科技扶贫电子阅读栏</w:t>
      </w:r>
    </w:p>
    <w:p>
      <w:pPr>
        <w:pStyle w:val="8"/>
        <w:shd w:val="clear" w:color="auto" w:fill="FFFFFF"/>
        <w:spacing w:before="0" w:beforeAutospacing="0" w:after="0" w:afterAutospacing="0"/>
        <w:jc w:val="center"/>
        <w:rPr>
          <w:rFonts w:ascii="仿宋" w:hAnsi="仿宋" w:eastAsia="仿宋"/>
          <w:sz w:val="28"/>
          <w:szCs w:val="28"/>
        </w:rPr>
      </w:pPr>
      <w:r>
        <w:drawing>
          <wp:inline distT="0" distB="0" distL="0" distR="0">
            <wp:extent cx="4257675" cy="56089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257143" cy="5608324"/>
                    </a:xfrm>
                    <a:prstGeom prst="rect">
                      <a:avLst/>
                    </a:prstGeom>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图12.定期编辑《山东科技简报》</w:t>
      </w:r>
    </w:p>
    <w:p>
      <w:pPr>
        <w:pStyle w:val="8"/>
        <w:shd w:val="clear" w:color="auto" w:fill="FFFFFF"/>
        <w:spacing w:before="0" w:beforeAutospacing="0" w:after="0" w:afterAutospacing="0"/>
        <w:jc w:val="center"/>
        <w:rPr>
          <w:rFonts w:ascii="仿宋" w:hAnsi="仿宋" w:eastAsia="仿宋"/>
          <w:sz w:val="28"/>
          <w:szCs w:val="28"/>
        </w:rPr>
      </w:pPr>
      <w:r>
        <w:rPr>
          <w:rFonts w:ascii="仿宋" w:hAnsi="仿宋" w:eastAsia="仿宋"/>
          <w:sz w:val="28"/>
          <w:szCs w:val="28"/>
        </w:rPr>
        <w:drawing>
          <wp:inline distT="0" distB="0" distL="0" distR="0">
            <wp:extent cx="4106545" cy="5772150"/>
            <wp:effectExtent l="0" t="0" r="0" b="0"/>
            <wp:docPr id="11" name="图片 11" descr="C:\Users\bgs\AppData\Local\Temp\WeChat Files\17ddfd5a47cedd70d5c9a889bdda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bgs\AppData\Local\Temp\WeChat Files\17ddfd5a47cedd70d5c9a889bdda7c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106149" cy="5771420"/>
                    </a:xfrm>
                    <a:prstGeom prst="rect">
                      <a:avLst/>
                    </a:prstGeom>
                    <a:noFill/>
                    <a:ln>
                      <a:noFill/>
                    </a:ln>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图13.定期出版《科技信息报》</w:t>
      </w:r>
    </w:p>
    <w:p>
      <w:pPr>
        <w:pStyle w:val="8"/>
        <w:shd w:val="clear" w:color="auto" w:fill="FFFFFF"/>
        <w:spacing w:before="0" w:beforeAutospacing="0" w:after="0" w:afterAutospacing="0" w:line="560" w:lineRule="exact"/>
        <w:ind w:firstLine="482"/>
        <w:jc w:val="both"/>
        <w:rPr>
          <w:rFonts w:ascii="楷体" w:hAnsi="楷体" w:eastAsia="楷体"/>
          <w:sz w:val="32"/>
          <w:szCs w:val="32"/>
        </w:rPr>
      </w:pPr>
      <w:r>
        <w:rPr>
          <w:rStyle w:val="10"/>
          <w:rFonts w:hint="eastAsia" w:ascii="楷体" w:hAnsi="楷体" w:eastAsia="楷体"/>
          <w:b w:val="0"/>
          <w:sz w:val="32"/>
          <w:szCs w:val="32"/>
        </w:rPr>
        <w:t>（二）推进重点领域信息公开</w:t>
      </w:r>
    </w:p>
    <w:p>
      <w:pPr>
        <w:pStyle w:val="8"/>
        <w:shd w:val="clear" w:color="auto" w:fill="FFFFFF"/>
        <w:spacing w:before="0" w:beforeAutospacing="0" w:after="0" w:afterAutospacing="0" w:line="560" w:lineRule="exact"/>
        <w:ind w:firstLine="482"/>
        <w:jc w:val="both"/>
        <w:rPr>
          <w:rStyle w:val="10"/>
          <w:rFonts w:ascii="楷体" w:hAnsi="楷体" w:eastAsia="楷体"/>
          <w:b w:val="0"/>
          <w:sz w:val="32"/>
          <w:szCs w:val="32"/>
        </w:rPr>
      </w:pPr>
      <w:r>
        <w:rPr>
          <w:rFonts w:hint="eastAsia" w:ascii="仿宋" w:hAnsi="仿宋" w:eastAsia="仿宋"/>
          <w:sz w:val="32"/>
          <w:szCs w:val="32"/>
        </w:rPr>
        <w:t>完善行政审批事项目录清单、行政权力清单、政府责任清单事项，进一步推进行政权力网上运行和信息公开，在山东政府服务网和厅网站加强对行政许可类和行政处罚类信息公开力度。按照省委、省政府统一部署安排，在厅网站及时公开部门预算、部门决算、“三公”经费支出情况。针对社会关注度较高的科研项目立项等方面信息，第一时间通过网络公示等途径发布，为深化科技管理体制改革，建立科学规范、公开透明、监管有力的科研项目和资金管理机制提供了有力保障。</w:t>
      </w:r>
    </w:p>
    <w:p>
      <w:pPr>
        <w:pStyle w:val="8"/>
        <w:shd w:val="clear" w:color="auto" w:fill="FFFFFF"/>
        <w:spacing w:before="0" w:beforeAutospacing="0" w:after="0" w:afterAutospacing="0" w:line="560" w:lineRule="exact"/>
        <w:ind w:firstLine="482"/>
        <w:rPr>
          <w:rStyle w:val="10"/>
          <w:rFonts w:ascii="楷体" w:hAnsi="楷体" w:eastAsia="楷体"/>
          <w:b w:val="0"/>
          <w:sz w:val="32"/>
          <w:szCs w:val="32"/>
        </w:rPr>
      </w:pPr>
      <w:r>
        <w:rPr>
          <w:rStyle w:val="10"/>
          <w:rFonts w:hint="eastAsia" w:ascii="楷体" w:hAnsi="楷体" w:eastAsia="楷体"/>
          <w:b w:val="0"/>
          <w:sz w:val="32"/>
          <w:szCs w:val="32"/>
        </w:rPr>
        <w:t>（三）建议提案办理结果公开</w:t>
      </w:r>
    </w:p>
    <w:p>
      <w:pPr>
        <w:pStyle w:val="8"/>
        <w:shd w:val="clear" w:color="auto" w:fill="FFFFFF"/>
        <w:spacing w:before="0" w:beforeAutospacing="0" w:after="0" w:afterAutospacing="0" w:line="560" w:lineRule="exact"/>
        <w:ind w:firstLine="640" w:firstLineChars="200"/>
        <w:jc w:val="both"/>
        <w:rPr>
          <w:rStyle w:val="10"/>
          <w:rFonts w:ascii="仿宋" w:hAnsi="仿宋" w:eastAsia="仿宋"/>
          <w:b w:val="0"/>
          <w:sz w:val="32"/>
          <w:szCs w:val="32"/>
        </w:rPr>
      </w:pPr>
      <w:r>
        <w:rPr>
          <w:rStyle w:val="10"/>
          <w:rFonts w:hint="eastAsia" w:ascii="仿宋" w:hAnsi="仿宋" w:eastAsia="仿宋"/>
          <w:b w:val="0"/>
          <w:sz w:val="32"/>
          <w:szCs w:val="32"/>
        </w:rPr>
        <w:t>提案议案办理工作是政府机关的法定职责和应尽义务，我厅坚持把建议提案办理工作作为密切党群关系、转变政府职能、改进工作作风、拓宽工作思路的重要途径。2018年我厅高度重视建议提案办理工作，圆满完成办理任务。在门户网站政务公开版块对“建议提案办理结果”栏目进行分类，及时将办理的代表建议、委员提案情况，以及年度办理情况总结等及时进行了公开。2018年省科技厅共承办省政协十二届一次会议提案63件（参阅件3件）。全部提案已按规定时限办理，办理率100%。其中，所提问题已经解决或基本解决提案25件，所提问题正在解决或列入规划逐步解决的提案30件，暂时难以解决的5件。提案者对办理工作反馈意见的满意率100%。2018年省科技厅共承办省人大十二届六次会议建议32件，现已全部按规定时限办理，办理率100%。其中所提问题均已解决或基本解决的18件，正在解决或列入规划逐步解决的6件，暂时难以解决的4件。人大代表对办理工作反馈意见的满意率100%。</w:t>
      </w:r>
    </w:p>
    <w:p>
      <w:pPr>
        <w:pStyle w:val="8"/>
        <w:shd w:val="clear" w:color="auto" w:fill="FFFFFF"/>
        <w:spacing w:before="0" w:beforeAutospacing="0" w:after="0" w:afterAutospacing="0" w:line="560" w:lineRule="exact"/>
        <w:ind w:firstLine="482"/>
        <w:jc w:val="both"/>
        <w:rPr>
          <w:rFonts w:ascii="黑体" w:hAnsi="黑体" w:eastAsia="黑体"/>
          <w:sz w:val="32"/>
          <w:szCs w:val="32"/>
        </w:rPr>
      </w:pPr>
      <w:r>
        <w:rPr>
          <w:rStyle w:val="10"/>
          <w:rFonts w:hint="eastAsia" w:ascii="黑体" w:hAnsi="黑体" w:eastAsia="黑体"/>
          <w:b w:val="0"/>
          <w:sz w:val="32"/>
          <w:szCs w:val="32"/>
        </w:rPr>
        <w:t>五、政府信息公开申请的办理情况和因政府信息公开申请提起行政复议、行政诉讼的情况</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2018年，我厅没有因政府信息公开申请提起行政复议、行政诉讼的情况。2018年,我厅收到7件信息公开申请件，按照相关政策规定，对申请人提出的政府信息公开申请，及时给予答复，申请人对我厅答复表示满意。</w:t>
      </w:r>
    </w:p>
    <w:p>
      <w:pPr>
        <w:pStyle w:val="8"/>
        <w:shd w:val="clear" w:color="auto" w:fill="FFFFFF"/>
        <w:spacing w:before="0" w:beforeAutospacing="0" w:after="0" w:afterAutospacing="0" w:line="560" w:lineRule="exact"/>
        <w:ind w:firstLine="482"/>
        <w:jc w:val="both"/>
        <w:rPr>
          <w:rFonts w:ascii="黑体" w:hAnsi="黑体" w:eastAsia="黑体"/>
          <w:sz w:val="32"/>
          <w:szCs w:val="32"/>
        </w:rPr>
      </w:pPr>
      <w:r>
        <w:rPr>
          <w:rStyle w:val="10"/>
          <w:rFonts w:hint="eastAsia" w:ascii="黑体" w:hAnsi="黑体" w:eastAsia="黑体"/>
          <w:b w:val="0"/>
          <w:sz w:val="32"/>
          <w:szCs w:val="32"/>
        </w:rPr>
        <w:t>六、政府信息公开的收费及减免情况</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我厅政府信息公开未收取任何费用。</w:t>
      </w:r>
    </w:p>
    <w:p>
      <w:pPr>
        <w:pStyle w:val="8"/>
        <w:shd w:val="clear" w:color="auto" w:fill="FFFFFF"/>
        <w:spacing w:before="0" w:beforeAutospacing="0" w:after="0" w:afterAutospacing="0"/>
        <w:jc w:val="center"/>
        <w:rPr>
          <w:rFonts w:ascii="仿宋" w:hAnsi="仿宋" w:eastAsia="仿宋"/>
          <w:sz w:val="28"/>
          <w:szCs w:val="28"/>
        </w:rPr>
      </w:pPr>
      <w:r>
        <w:rPr>
          <w:rFonts w:ascii="仿宋" w:hAnsi="仿宋" w:eastAsia="仿宋"/>
          <w:sz w:val="28"/>
          <w:szCs w:val="28"/>
        </w:rPr>
        <w:drawing>
          <wp:inline distT="0" distB="0" distL="0" distR="0">
            <wp:extent cx="4400550" cy="5969000"/>
            <wp:effectExtent l="0" t="0" r="0" b="0"/>
            <wp:docPr id="10" name="图片 10" descr="C:\Users\bgs\AppData\Local\Temp\WeChat Files\36c39f4a7587231a91c9d344f388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bgs\AppData\Local\Temp\WeChat Files\36c39f4a7587231a91c9d344f3888d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01537" cy="5970346"/>
                    </a:xfrm>
                    <a:prstGeom prst="rect">
                      <a:avLst/>
                    </a:prstGeom>
                    <a:noFill/>
                    <a:ln>
                      <a:noFill/>
                    </a:ln>
                  </pic:spPr>
                </pic:pic>
              </a:graphicData>
            </a:graphic>
          </wp:inline>
        </w:drawing>
      </w:r>
    </w:p>
    <w:p>
      <w:pPr>
        <w:pStyle w:val="8"/>
        <w:shd w:val="clear" w:color="auto" w:fill="FFFFFF"/>
        <w:spacing w:before="0" w:beforeAutospacing="0" w:after="0" w:afterAutospacing="0"/>
        <w:jc w:val="center"/>
        <w:rPr>
          <w:rFonts w:ascii="仿宋" w:hAnsi="仿宋" w:eastAsia="仿宋"/>
          <w:sz w:val="28"/>
          <w:szCs w:val="28"/>
        </w:rPr>
      </w:pPr>
      <w:r>
        <w:rPr>
          <w:rFonts w:hint="eastAsia" w:ascii="仿宋" w:hAnsi="仿宋" w:eastAsia="仿宋"/>
          <w:sz w:val="28"/>
          <w:szCs w:val="28"/>
        </w:rPr>
        <w:t>图14.定期出版《科技信息》</w:t>
      </w:r>
    </w:p>
    <w:p>
      <w:pPr>
        <w:pStyle w:val="8"/>
        <w:shd w:val="clear" w:color="auto" w:fill="FFFFFF"/>
        <w:spacing w:before="0" w:beforeAutospacing="0" w:after="0" w:afterAutospacing="0" w:line="560" w:lineRule="exact"/>
        <w:ind w:firstLine="482"/>
        <w:jc w:val="both"/>
        <w:rPr>
          <w:rFonts w:ascii="黑体" w:hAnsi="黑体" w:eastAsia="黑体"/>
          <w:sz w:val="32"/>
          <w:szCs w:val="32"/>
        </w:rPr>
      </w:pPr>
      <w:r>
        <w:rPr>
          <w:rStyle w:val="10"/>
          <w:rFonts w:hint="eastAsia" w:ascii="黑体" w:hAnsi="黑体" w:eastAsia="黑体"/>
          <w:b w:val="0"/>
          <w:sz w:val="32"/>
          <w:szCs w:val="32"/>
        </w:rPr>
        <w:t>七、政府信息公开保密审查及监督检查情况</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我厅在政府信息公开工作中，自觉遵守国家、省有关规定，按照《山东省科技厅政府信息公开保密审查制度》有关要求，严格遵守信息公开报告及审核制度，2018年我厅未发生因政府信息公开不当引起的失泄密事件。</w:t>
      </w:r>
    </w:p>
    <w:p>
      <w:pPr>
        <w:pStyle w:val="8"/>
        <w:shd w:val="clear" w:color="auto" w:fill="FFFFFF"/>
        <w:spacing w:before="0" w:beforeAutospacing="0" w:after="0" w:afterAutospacing="0" w:line="560" w:lineRule="exact"/>
        <w:ind w:firstLine="482"/>
        <w:jc w:val="both"/>
        <w:rPr>
          <w:rFonts w:ascii="黑体" w:hAnsi="黑体" w:eastAsia="黑体"/>
          <w:sz w:val="32"/>
          <w:szCs w:val="32"/>
        </w:rPr>
      </w:pPr>
      <w:r>
        <w:rPr>
          <w:rFonts w:hint="eastAsia" w:ascii="黑体" w:hAnsi="黑体" w:eastAsia="黑体"/>
          <w:sz w:val="32"/>
          <w:szCs w:val="32"/>
        </w:rPr>
        <w:t>八、</w:t>
      </w:r>
      <w:r>
        <w:rPr>
          <w:rStyle w:val="10"/>
          <w:rFonts w:hint="eastAsia" w:ascii="黑体" w:hAnsi="黑体" w:eastAsia="黑体"/>
          <w:b w:val="0"/>
          <w:sz w:val="32"/>
          <w:szCs w:val="32"/>
        </w:rPr>
        <w:t>政府信息公开工作存在的主要问题及改进情况</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2018年，我厅政府信息公开工作虽然取得了一定成绩，但也存在一些需要完善的问题，一是个别单位对政务公开认识不完全到位；二是信息公开渠道不够广泛，形式不够丰富；三是信息互动方面还有待提高。下一步将从以下几个方面推进政府信息公开工作：</w:t>
      </w:r>
    </w:p>
    <w:p>
      <w:pPr>
        <w:pStyle w:val="8"/>
        <w:shd w:val="clear" w:color="auto" w:fill="FFFFFF"/>
        <w:spacing w:before="0" w:beforeAutospacing="0" w:after="0" w:afterAutospacing="0" w:line="560" w:lineRule="exact"/>
        <w:ind w:firstLine="482"/>
        <w:jc w:val="both"/>
        <w:rPr>
          <w:rFonts w:ascii="楷体" w:hAnsi="楷体" w:eastAsia="楷体"/>
          <w:sz w:val="32"/>
          <w:szCs w:val="32"/>
        </w:rPr>
      </w:pPr>
      <w:r>
        <w:rPr>
          <w:rStyle w:val="10"/>
          <w:rFonts w:hint="eastAsia" w:ascii="楷体" w:hAnsi="楷体" w:eastAsia="楷体"/>
          <w:b w:val="0"/>
          <w:sz w:val="32"/>
          <w:szCs w:val="32"/>
        </w:rPr>
        <w:t>（一）继续加强组织领导，完善公开制度体系</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按照国家和省有关工作要求，进一步建立健全我厅政府信息公开制度，建立信息公开的长效机制，实现信息公开的制度化、规范化、常态化。严格按照制度办事，强化信息公开考核，将信息公开纳入全厅考评工作方案。</w:t>
      </w:r>
    </w:p>
    <w:p>
      <w:pPr>
        <w:pStyle w:val="8"/>
        <w:shd w:val="clear" w:color="auto" w:fill="FFFFFF"/>
        <w:spacing w:before="0" w:beforeAutospacing="0" w:after="0" w:afterAutospacing="0" w:line="560" w:lineRule="exact"/>
        <w:ind w:firstLine="482"/>
        <w:jc w:val="both"/>
        <w:rPr>
          <w:rFonts w:ascii="楷体" w:hAnsi="楷体" w:eastAsia="楷体"/>
          <w:sz w:val="32"/>
          <w:szCs w:val="32"/>
        </w:rPr>
      </w:pPr>
      <w:r>
        <w:rPr>
          <w:rStyle w:val="10"/>
          <w:rFonts w:hint="eastAsia" w:ascii="楷体" w:hAnsi="楷体" w:eastAsia="楷体"/>
          <w:b w:val="0"/>
          <w:sz w:val="32"/>
          <w:szCs w:val="32"/>
        </w:rPr>
        <w:t>（二）继续优化公开平台建设，拓宽信息公开渠道</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指导各处室、单位整合资源，积极拓展信息公开渠道，加强厅网站信息内容建设和技术保障，将厅门户网站打造成为更加全面的信息公开平台；进一步推进科技云平台建设，实现科技信息资源的高效整合和充分共享；不断完善“山东科技”微信平台，丰富信息发布形式；按照省政府办公厅统一部署，认真做好省电子政务外网建设，深入推进政务信息资源整合共享开放；继续巩固与山东卫视等媒体的战略合作，继续通过报纸、杂志、网络等多种渠道对我省重大科技创新政策进行广泛、深入、持续的宣传和报道。</w:t>
      </w:r>
    </w:p>
    <w:p>
      <w:pPr>
        <w:pStyle w:val="8"/>
        <w:shd w:val="clear" w:color="auto" w:fill="FFFFFF"/>
        <w:spacing w:before="0" w:beforeAutospacing="0" w:after="0" w:afterAutospacing="0" w:line="560" w:lineRule="exact"/>
        <w:ind w:firstLine="482"/>
        <w:jc w:val="both"/>
        <w:rPr>
          <w:rFonts w:ascii="楷体" w:hAnsi="楷体" w:eastAsia="楷体"/>
          <w:sz w:val="32"/>
          <w:szCs w:val="32"/>
        </w:rPr>
      </w:pPr>
      <w:r>
        <w:rPr>
          <w:rStyle w:val="10"/>
          <w:rFonts w:hint="eastAsia" w:ascii="楷体" w:hAnsi="楷体" w:eastAsia="楷体"/>
          <w:b w:val="0"/>
          <w:sz w:val="32"/>
          <w:szCs w:val="32"/>
        </w:rPr>
        <w:t>（三）加强信息队伍建设，做好主动公开</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通过专题培训、讲座等形式，积极开展全厅系统教育培训工作，增强工作人员的政府信息公开意识；指导各市科技局深入县、市、区以及企业进行主动宣讲培训，真正实现科技创新政策对创新主体的全覆盖；</w:t>
      </w:r>
      <w:r>
        <w:rPr>
          <w:rFonts w:hint="eastAsia" w:ascii="仿宋_GB2312" w:eastAsia="仿宋_GB2312"/>
          <w:color w:val="333333"/>
          <w:sz w:val="32"/>
          <w:szCs w:val="32"/>
          <w:shd w:val="clear" w:color="auto" w:fill="FFFFFF"/>
        </w:rPr>
        <w:t>继续全面落实决策、执行、管理、服务和结果“五公开”的工作要求，不断提高工作透明度，</w:t>
      </w:r>
      <w:r>
        <w:rPr>
          <w:rFonts w:hint="eastAsia" w:ascii="仿宋" w:hAnsi="仿宋" w:eastAsia="仿宋"/>
          <w:sz w:val="32"/>
          <w:szCs w:val="32"/>
        </w:rPr>
        <w:t>及时督促各处室、单位做好重点领域主动公开工作，注重公开工作依据、标准、执行过程、结果等组成要素，做好依申请公开工作，积极回复各类帖件，运用微信、微博推进公开工作，强化信息互动，及时回应社会关切。</w:t>
      </w:r>
    </w:p>
    <w:p>
      <w:pPr>
        <w:pStyle w:val="8"/>
        <w:shd w:val="clear" w:color="auto" w:fill="FFFFFF"/>
        <w:spacing w:before="0" w:beforeAutospacing="0" w:after="0" w:afterAutospacing="0" w:line="560" w:lineRule="exact"/>
        <w:ind w:firstLine="482"/>
        <w:jc w:val="both"/>
        <w:rPr>
          <w:rFonts w:ascii="楷体" w:hAnsi="楷体" w:eastAsia="楷体"/>
          <w:sz w:val="32"/>
          <w:szCs w:val="32"/>
        </w:rPr>
      </w:pPr>
      <w:r>
        <w:rPr>
          <w:rFonts w:hint="eastAsia" w:ascii="楷体" w:hAnsi="楷体" w:eastAsia="楷体"/>
          <w:sz w:val="32"/>
          <w:szCs w:val="32"/>
        </w:rPr>
        <w:t>（四）</w:t>
      </w:r>
      <w:r>
        <w:rPr>
          <w:rFonts w:ascii="楷体" w:hAnsi="楷体" w:eastAsia="楷体"/>
          <w:sz w:val="32"/>
          <w:szCs w:val="32"/>
        </w:rPr>
        <w:t>加强工作检查和督促</w:t>
      </w:r>
      <w:r>
        <w:rPr>
          <w:rFonts w:hint="eastAsia" w:ascii="楷体" w:hAnsi="楷体" w:eastAsia="楷体"/>
          <w:sz w:val="32"/>
          <w:szCs w:val="32"/>
        </w:rPr>
        <w:t>，确保</w:t>
      </w:r>
      <w:r>
        <w:rPr>
          <w:rFonts w:ascii="楷体" w:hAnsi="楷体" w:eastAsia="楷体"/>
          <w:sz w:val="32"/>
          <w:szCs w:val="32"/>
        </w:rPr>
        <w:t>信息公开的时效性</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ascii="仿宋" w:hAnsi="仿宋" w:eastAsia="仿宋"/>
          <w:sz w:val="32"/>
          <w:szCs w:val="32"/>
        </w:rPr>
        <w:t>切实加强工作分工配合，加强日常工作督促，努力提高责任意识和效率意识</w:t>
      </w:r>
      <w:r>
        <w:rPr>
          <w:rFonts w:hint="eastAsia" w:ascii="仿宋" w:hAnsi="仿宋" w:eastAsia="仿宋"/>
          <w:sz w:val="32"/>
          <w:szCs w:val="32"/>
        </w:rPr>
        <w:t>，确保</w:t>
      </w:r>
      <w:r>
        <w:rPr>
          <w:rFonts w:ascii="仿宋" w:hAnsi="仿宋" w:eastAsia="仿宋"/>
          <w:sz w:val="32"/>
          <w:szCs w:val="32"/>
        </w:rPr>
        <w:t>各类信息、政策文件、工作动态、公告公示在规定的时间内公开，按程序及时发布权威信息，认真</w:t>
      </w:r>
      <w:r>
        <w:rPr>
          <w:rFonts w:hint="eastAsia" w:ascii="仿宋" w:hAnsi="仿宋" w:eastAsia="仿宋"/>
          <w:sz w:val="32"/>
          <w:szCs w:val="32"/>
        </w:rPr>
        <w:t>及时</w:t>
      </w:r>
      <w:r>
        <w:rPr>
          <w:rFonts w:ascii="仿宋" w:hAnsi="仿宋" w:eastAsia="仿宋"/>
          <w:sz w:val="32"/>
          <w:szCs w:val="32"/>
        </w:rPr>
        <w:t>回应社会关切。</w:t>
      </w:r>
    </w:p>
    <w:p>
      <w:pPr>
        <w:pStyle w:val="8"/>
        <w:shd w:val="clear" w:color="auto" w:fill="FFFFFF"/>
        <w:spacing w:before="0" w:beforeAutospacing="0" w:after="0" w:afterAutospacing="0" w:line="560" w:lineRule="exact"/>
        <w:ind w:firstLine="482"/>
        <w:jc w:val="both"/>
        <w:rPr>
          <w:rFonts w:ascii="仿宋" w:hAnsi="仿宋" w:eastAsia="仿宋"/>
          <w:sz w:val="32"/>
          <w:szCs w:val="32"/>
        </w:rPr>
      </w:pPr>
    </w:p>
    <w:p>
      <w:pPr>
        <w:pStyle w:val="8"/>
        <w:shd w:val="clear" w:color="auto" w:fill="FFFFFF"/>
        <w:spacing w:before="0" w:beforeAutospacing="0" w:after="0" w:afterAutospacing="0" w:line="560" w:lineRule="exact"/>
        <w:ind w:firstLine="482"/>
        <w:jc w:val="both"/>
        <w:rPr>
          <w:rFonts w:ascii="仿宋" w:hAnsi="仿宋" w:eastAsia="仿宋"/>
          <w:sz w:val="32"/>
          <w:szCs w:val="32"/>
        </w:rPr>
      </w:pPr>
      <w:r>
        <w:rPr>
          <w:rFonts w:hint="eastAsia" w:ascii="仿宋" w:hAnsi="仿宋" w:eastAsia="仿宋"/>
          <w:sz w:val="32"/>
          <w:szCs w:val="32"/>
        </w:rPr>
        <w:t xml:space="preserve">                                     山东省科技厅</w:t>
      </w: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r>
        <w:rPr>
          <w:rFonts w:hint="eastAsia" w:ascii="仿宋" w:hAnsi="仿宋" w:eastAsia="仿宋"/>
          <w:sz w:val="32"/>
          <w:szCs w:val="32"/>
        </w:rPr>
        <w:t xml:space="preserve">                                    2019年1月25日</w:t>
      </w: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pStyle w:val="8"/>
        <w:shd w:val="clear" w:color="auto" w:fill="FFFFFF"/>
        <w:spacing w:before="0" w:beforeAutospacing="0" w:after="0" w:afterAutospacing="0" w:line="560" w:lineRule="exact"/>
        <w:ind w:firstLine="482"/>
        <w:jc w:val="both"/>
        <w:rPr>
          <w:rFonts w:hint="eastAsia" w:ascii="仿宋" w:hAnsi="仿宋" w:eastAsia="仿宋"/>
          <w:sz w:val="32"/>
          <w:szCs w:val="32"/>
        </w:rPr>
      </w:pPr>
    </w:p>
    <w:p>
      <w:pPr>
        <w:rPr>
          <w:rFonts w:hint="eastAsia" w:ascii="黑体" w:hAnsi="黑体" w:eastAsia="黑体"/>
          <w:sz w:val="32"/>
        </w:rPr>
      </w:pPr>
    </w:p>
    <w:p>
      <w:pPr>
        <w:rPr>
          <w:rFonts w:ascii="黑体" w:hAnsi="黑体" w:eastAsia="黑体"/>
          <w:sz w:val="32"/>
        </w:rPr>
      </w:pPr>
      <w:bookmarkStart w:id="0" w:name="_GoBack"/>
      <w:bookmarkEnd w:id="0"/>
      <w:r>
        <w:rPr>
          <w:rFonts w:hint="eastAsia" w:ascii="黑体" w:hAnsi="黑体" w:eastAsia="黑体"/>
          <w:sz w:val="32"/>
        </w:rPr>
        <w:t>附件</w:t>
      </w:r>
    </w:p>
    <w:p>
      <w:pPr>
        <w:jc w:val="center"/>
        <w:rPr>
          <w:rFonts w:ascii="宋体" w:hAnsi="宋体"/>
          <w:b/>
          <w:sz w:val="32"/>
        </w:rPr>
      </w:pPr>
      <w:r>
        <w:rPr>
          <w:rFonts w:hint="eastAsia" w:ascii="宋体" w:hAnsi="宋体"/>
          <w:b/>
          <w:sz w:val="32"/>
        </w:rPr>
        <w:t>2018年度政府信息公开工作情况统计表</w:t>
      </w:r>
    </w:p>
    <w:p>
      <w:pPr>
        <w:jc w:val="center"/>
      </w:pPr>
      <w:r>
        <w:rPr>
          <w:rFonts w:hint="eastAsia"/>
          <w:b/>
          <w:sz w:val="28"/>
          <w:szCs w:val="28"/>
        </w:rPr>
        <w:t>（山东省科技厅）</w:t>
      </w:r>
    </w:p>
    <w:tbl>
      <w:tblPr>
        <w:tblStyle w:val="13"/>
        <w:tblW w:w="7808"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6372"/>
        <w:gridCol w:w="730"/>
        <w:gridCol w:w="70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8"/>
              <w:spacing w:before="0" w:beforeAutospacing="0" w:after="0" w:afterAutospacing="0" w:line="420" w:lineRule="atLeast"/>
              <w:ind w:firstLine="685"/>
              <w:jc w:val="center"/>
              <w:rPr>
                <w:color w:val="000000"/>
              </w:rPr>
            </w:pPr>
            <w:r>
              <w:rPr>
                <w:rStyle w:val="10"/>
                <w:rFonts w:hint="eastAsia"/>
                <w:color w:val="000000"/>
                <w:sz w:val="20"/>
                <w:szCs w:val="20"/>
              </w:rPr>
              <w:t>统　计　指　标</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10"/>
                <w:rFonts w:hint="eastAsia" w:ascii="宋体" w:hAnsi="宋体"/>
                <w:color w:val="000000"/>
                <w:sz w:val="20"/>
                <w:szCs w:val="20"/>
              </w:rPr>
              <w:t>单位</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10"/>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6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一、主动公开情况</w:t>
            </w:r>
          </w:p>
        </w:tc>
        <w:tc>
          <w:tcPr>
            <w:tcW w:w="73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20"/>
              <w:numPr>
                <w:ilvl w:val="0"/>
                <w:numId w:val="1"/>
              </w:numPr>
              <w:spacing w:line="420" w:lineRule="atLeast"/>
              <w:ind w:firstLineChars="0"/>
              <w:rPr>
                <w:rFonts w:ascii="宋体" w:hAnsi="宋体"/>
                <w:color w:val="000000"/>
                <w:sz w:val="20"/>
                <w:szCs w:val="20"/>
              </w:rPr>
            </w:pPr>
            <w:r>
              <w:rPr>
                <w:rFonts w:ascii="宋体" w:hAnsi="宋体"/>
                <w:color w:val="000000"/>
                <w:sz w:val="20"/>
                <w:szCs w:val="20"/>
              </w:rPr>
              <w:t>主动公开政府信息数</w:t>
            </w:r>
          </w:p>
          <w:p>
            <w:pPr>
              <w:pStyle w:val="20"/>
              <w:numPr>
                <w:ilvl w:val="0"/>
                <w:numId w:val="1"/>
              </w:numPr>
              <w:spacing w:line="420" w:lineRule="atLeast"/>
              <w:ind w:firstLineChars="0"/>
              <w:rPr>
                <w:rFonts w:ascii="宋体" w:hAnsi="宋体" w:cs="宋体"/>
                <w:color w:val="000000"/>
                <w:sz w:val="24"/>
              </w:rPr>
            </w:pPr>
            <w:r>
              <w:rPr>
                <w:rFonts w:ascii="宋体" w:hAnsi="宋体"/>
                <w:color w:val="000000"/>
                <w:sz w:val="20"/>
                <w:szCs w:val="20"/>
              </w:rPr>
              <w:t>　　　　（不同渠道和方式公开相同信息计1条）</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3331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73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1557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269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1505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二、回应解读情况</w:t>
            </w:r>
          </w:p>
        </w:tc>
        <w:tc>
          <w:tcPr>
            <w:tcW w:w="73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8"/>
              <w:spacing w:before="0" w:beforeAutospacing="0" w:after="0" w:afterAutospacing="0" w:line="420" w:lineRule="atLeast"/>
              <w:ind w:firstLine="685"/>
              <w:jc w:val="center"/>
              <w:rPr>
                <w:color w:val="000000"/>
              </w:rPr>
            </w:pPr>
          </w:p>
        </w:tc>
        <w:tc>
          <w:tcPr>
            <w:tcW w:w="706" w:type="dxa"/>
            <w:tcBorders>
              <w:top w:val="single" w:color="auto" w:sz="0" w:space="0"/>
              <w:left w:val="single" w:color="auto" w:sz="0" w:space="0"/>
              <w:bottom w:val="single" w:color="auto" w:sz="0"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8"/>
              <w:numPr>
                <w:ilvl w:val="0"/>
                <w:numId w:val="2"/>
              </w:numPr>
              <w:spacing w:before="0" w:beforeAutospacing="0" w:after="0" w:afterAutospacing="0" w:line="420" w:lineRule="atLeast"/>
              <w:rPr>
                <w:rFonts w:cs="Times New Roman"/>
                <w:color w:val="000000"/>
                <w:kern w:val="2"/>
                <w:sz w:val="20"/>
                <w:szCs w:val="20"/>
              </w:rPr>
            </w:pPr>
            <w:r>
              <w:rPr>
                <w:rFonts w:cs="Times New Roman"/>
                <w:color w:val="000000"/>
                <w:kern w:val="2"/>
                <w:sz w:val="20"/>
                <w:szCs w:val="20"/>
              </w:rPr>
              <w:t>回应公众关注热点或重大舆情数</w:t>
            </w:r>
          </w:p>
          <w:p>
            <w:pPr>
              <w:pStyle w:val="8"/>
              <w:numPr>
                <w:ilvl w:val="0"/>
                <w:numId w:val="2"/>
              </w:numPr>
              <w:spacing w:before="0" w:beforeAutospacing="0" w:after="0" w:afterAutospacing="0" w:line="420" w:lineRule="atLeast"/>
              <w:rPr>
                <w:color w:val="000000"/>
              </w:rPr>
            </w:pPr>
            <w:r>
              <w:rPr>
                <w:rFonts w:cs="Times New Roman"/>
                <w:color w:val="000000"/>
                <w:kern w:val="2"/>
                <w:sz w:val="20"/>
                <w:szCs w:val="20"/>
              </w:rPr>
              <w:t>　　　　 （不同方式回应同一热点或舆情计1次）</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73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篇</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三、依申请公开情况</w:t>
            </w:r>
          </w:p>
        </w:tc>
        <w:tc>
          <w:tcPr>
            <w:tcW w:w="73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8"/>
              <w:spacing w:before="0" w:beforeAutospacing="0" w:after="0" w:afterAutospacing="0" w:line="420" w:lineRule="atLeast"/>
              <w:ind w:firstLine="685"/>
              <w:jc w:val="center"/>
              <w:rPr>
                <w:color w:val="000000"/>
              </w:rPr>
            </w:pPr>
          </w:p>
        </w:tc>
        <w:tc>
          <w:tcPr>
            <w:tcW w:w="706" w:type="dxa"/>
            <w:tcBorders>
              <w:top w:val="single" w:color="auto" w:sz="0" w:space="0"/>
              <w:left w:val="single" w:color="auto" w:sz="0" w:space="0"/>
              <w:bottom w:val="single" w:color="auto" w:sz="0"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73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5.其他形式</w:t>
            </w:r>
          </w:p>
        </w:tc>
        <w:tc>
          <w:tcPr>
            <w:tcW w:w="73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706"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1.按时办结数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四、行政复议数量</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五、行政诉讼数量</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六、被举报投诉数量</w:t>
            </w:r>
          </w:p>
        </w:tc>
        <w:tc>
          <w:tcPr>
            <w:tcW w:w="73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706"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73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706"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（二）被纠错数</w:t>
            </w:r>
          </w:p>
        </w:tc>
        <w:tc>
          <w:tcPr>
            <w:tcW w:w="73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706"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73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706"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ascii="宋体" w:hAnsi="宋体"/>
                <w:color w:val="000000"/>
                <w:sz w:val="20"/>
                <w:szCs w:val="20"/>
              </w:rPr>
            </w:pPr>
          </w:p>
        </w:tc>
        <w:tc>
          <w:tcPr>
            <w:tcW w:w="73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706"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w:t>
            </w:r>
            <w:r>
              <w:rPr>
                <w:rFonts w:hint="eastAsia" w:ascii="宋体" w:hAnsi="宋体"/>
                <w:color w:val="000000"/>
                <w:sz w:val="20"/>
                <w:szCs w:val="20"/>
              </w:rPr>
              <w:t>纸质文件数</w:t>
            </w:r>
          </w:p>
        </w:tc>
        <w:tc>
          <w:tcPr>
            <w:tcW w:w="73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706"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w:t>
            </w:r>
            <w:r>
              <w:rPr>
                <w:rFonts w:hint="eastAsia" w:ascii="宋体" w:hAnsi="宋体"/>
                <w:color w:val="000000"/>
                <w:sz w:val="20"/>
                <w:szCs w:val="20"/>
              </w:rPr>
              <w:t>电子文件数</w:t>
            </w:r>
          </w:p>
        </w:tc>
        <w:tc>
          <w:tcPr>
            <w:tcW w:w="73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706"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八、机构建设和保障经费情况</w:t>
            </w:r>
          </w:p>
        </w:tc>
        <w:tc>
          <w:tcPr>
            <w:tcW w:w="73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73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万元</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九、政府信息公开会议和培训情况</w:t>
            </w:r>
          </w:p>
        </w:tc>
        <w:tc>
          <w:tcPr>
            <w:tcW w:w="73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637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73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人次</w:t>
            </w:r>
          </w:p>
        </w:tc>
        <w:tc>
          <w:tcPr>
            <w:tcW w:w="706"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51</w:t>
            </w:r>
          </w:p>
        </w:tc>
      </w:tr>
    </w:tbl>
    <w:p>
      <w:pPr>
        <w:rPr>
          <w:rFonts w:ascii="宋体" w:hAnsi="宋体"/>
          <w:color w:val="000000"/>
          <w:sz w:val="20"/>
          <w:szCs w:val="20"/>
        </w:rPr>
      </w:pPr>
      <w:r>
        <w:rPr>
          <w:rFonts w:hint="eastAsia" w:ascii="宋体" w:hAnsi="宋体"/>
          <w:color w:val="000000"/>
          <w:sz w:val="20"/>
          <w:szCs w:val="20"/>
        </w:rPr>
        <w:t>（注：各子栏目数总数要等于总栏目数量）</w:t>
      </w:r>
    </w:p>
    <w:p>
      <w:pPr>
        <w:pStyle w:val="8"/>
        <w:shd w:val="clear" w:color="auto" w:fill="FFFFFF"/>
        <w:spacing w:before="0" w:beforeAutospacing="0" w:after="0" w:afterAutospacing="0" w:line="560" w:lineRule="exact"/>
        <w:jc w:val="both"/>
        <w:rPr>
          <w:rFonts w:hint="eastAsia" w:ascii="仿宋" w:hAnsi="仿宋" w:eastAsia="仿宋"/>
          <w:sz w:val="32"/>
          <w:szCs w:val="32"/>
        </w:rPr>
      </w:pPr>
    </w:p>
    <w:sectPr>
      <w:footerReference r:id="rId3" w:type="default"/>
      <w:pgSz w:w="11906" w:h="16838"/>
      <w:pgMar w:top="1418" w:right="1418" w:bottom="1134" w:left="1418" w:header="851" w:footer="79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swiss"/>
    <w:pitch w:val="default"/>
    <w:sig w:usb0="800002BF" w:usb1="38CF7CFA" w:usb2="00000016" w:usb3="00000000" w:csb0="00040001" w:csb1="00000000"/>
  </w:font>
  <w:font w:name="黑体">
    <w:panose1 w:val="02010609060101010101"/>
    <w:charset w:val="86"/>
    <w:family w:val="swiss"/>
    <w:pitch w:val="default"/>
    <w:sig w:usb0="800002BF" w:usb1="38CF7CFA" w:usb2="00000016" w:usb3="00000000" w:csb0="00040001" w:csb1="00000000"/>
  </w:font>
  <w:font w:name="Tahoma">
    <w:panose1 w:val="020B0604030504040204"/>
    <w:charset w:val="00"/>
    <w:family w:val="decorative"/>
    <w:pitch w:val="default"/>
    <w:sig w:usb0="E1002EFF" w:usb1="C000605B" w:usb2="00000029" w:usb3="00000000" w:csb0="200101FF" w:csb1="20280000"/>
  </w:font>
  <w:font w:name="楷体">
    <w:panose1 w:val="02010609060101010101"/>
    <w:charset w:val="86"/>
    <w:family w:val="swiss"/>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黑体">
    <w:panose1 w:val="02010609060101010101"/>
    <w:charset w:val="86"/>
    <w:family w:val="decorative"/>
    <w:pitch w:val="default"/>
    <w:sig w:usb0="800002BF" w:usb1="38CF7CFA" w:usb2="00000016" w:usb3="00000000" w:csb0="00040001" w:csb1="00000000"/>
  </w:font>
  <w:font w:name="Calibri Light">
    <w:panose1 w:val="020F0302020204030204"/>
    <w:charset w:val="00"/>
    <w:family w:val="roman"/>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209687"/>
    </w:sdtPr>
    <w:sdtContent>
      <w:p>
        <w:pPr>
          <w:pStyle w:val="6"/>
          <w:jc w:val="center"/>
        </w:pPr>
        <w:r>
          <w:fldChar w:fldCharType="begin"/>
        </w:r>
        <w:r>
          <w:instrText xml:space="preserve">PAGE   \* MERGEFORMAT</w:instrText>
        </w:r>
        <w:r>
          <w:fldChar w:fldCharType="separate"/>
        </w:r>
        <w:r>
          <w:rPr>
            <w:lang w:val="zh-CN"/>
          </w:rPr>
          <w:t>11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10045590">
    <w:nsid w:val="5FF75896"/>
    <w:multiLevelType w:val="multilevel"/>
    <w:tmpl w:val="5FF75896"/>
    <w:lvl w:ilvl="0" w:tentative="1">
      <w:start w:val="1"/>
      <w:numFmt w:val="japaneseCounting"/>
      <w:lvlText w:val="（%1）"/>
      <w:lvlJc w:val="left"/>
      <w:pPr>
        <w:ind w:left="1110" w:hanging="720"/>
      </w:pPr>
      <w:rPr>
        <w:rFonts w:hint="default"/>
      </w:rPr>
    </w:lvl>
    <w:lvl w:ilvl="1" w:tentative="1">
      <w:start w:val="1"/>
      <w:numFmt w:val="lowerLetter"/>
      <w:lvlText w:val="%2)"/>
      <w:lvlJc w:val="left"/>
      <w:pPr>
        <w:ind w:left="1230" w:hanging="420"/>
      </w:pPr>
    </w:lvl>
    <w:lvl w:ilvl="2" w:tentative="1">
      <w:start w:val="1"/>
      <w:numFmt w:val="lowerRoman"/>
      <w:lvlText w:val="%3."/>
      <w:lvlJc w:val="right"/>
      <w:pPr>
        <w:ind w:left="1650" w:hanging="420"/>
      </w:pPr>
    </w:lvl>
    <w:lvl w:ilvl="3" w:tentative="1">
      <w:start w:val="1"/>
      <w:numFmt w:val="decimal"/>
      <w:lvlText w:val="%4."/>
      <w:lvlJc w:val="left"/>
      <w:pPr>
        <w:ind w:left="2070" w:hanging="420"/>
      </w:pPr>
    </w:lvl>
    <w:lvl w:ilvl="4" w:tentative="1">
      <w:start w:val="1"/>
      <w:numFmt w:val="lowerLetter"/>
      <w:lvlText w:val="%5)"/>
      <w:lvlJc w:val="left"/>
      <w:pPr>
        <w:ind w:left="2490" w:hanging="420"/>
      </w:pPr>
    </w:lvl>
    <w:lvl w:ilvl="5" w:tentative="1">
      <w:start w:val="1"/>
      <w:numFmt w:val="lowerRoman"/>
      <w:lvlText w:val="%6."/>
      <w:lvlJc w:val="right"/>
      <w:pPr>
        <w:ind w:left="2910" w:hanging="420"/>
      </w:pPr>
    </w:lvl>
    <w:lvl w:ilvl="6" w:tentative="1">
      <w:start w:val="1"/>
      <w:numFmt w:val="decimal"/>
      <w:lvlText w:val="%7."/>
      <w:lvlJc w:val="left"/>
      <w:pPr>
        <w:ind w:left="3330" w:hanging="420"/>
      </w:pPr>
    </w:lvl>
    <w:lvl w:ilvl="7" w:tentative="1">
      <w:start w:val="1"/>
      <w:numFmt w:val="lowerLetter"/>
      <w:lvlText w:val="%8)"/>
      <w:lvlJc w:val="left"/>
      <w:pPr>
        <w:ind w:left="3750" w:hanging="420"/>
      </w:pPr>
    </w:lvl>
    <w:lvl w:ilvl="8" w:tentative="1">
      <w:start w:val="1"/>
      <w:numFmt w:val="lowerRoman"/>
      <w:lvlText w:val="%9."/>
      <w:lvlJc w:val="right"/>
      <w:pPr>
        <w:ind w:left="4170" w:hanging="420"/>
      </w:pPr>
    </w:lvl>
  </w:abstractNum>
  <w:abstractNum w:abstractNumId="2001930683">
    <w:nsid w:val="775309BB"/>
    <w:multiLevelType w:val="multilevel"/>
    <w:tmpl w:val="775309BB"/>
    <w:lvl w:ilvl="0" w:tentative="1">
      <w:start w:val="1"/>
      <w:numFmt w:val="japaneseCounting"/>
      <w:lvlText w:val="（%1）"/>
      <w:lvlJc w:val="left"/>
      <w:pPr>
        <w:ind w:left="1120" w:hanging="720"/>
      </w:pPr>
      <w:rPr>
        <w:rFonts w:hint="default"/>
      </w:rPr>
    </w:lvl>
    <w:lvl w:ilvl="1" w:tentative="1">
      <w:start w:val="1"/>
      <w:numFmt w:val="lowerLetter"/>
      <w:lvlText w:val="%2)"/>
      <w:lvlJc w:val="left"/>
      <w:pPr>
        <w:ind w:left="1240" w:hanging="420"/>
      </w:pPr>
    </w:lvl>
    <w:lvl w:ilvl="2" w:tentative="1">
      <w:start w:val="1"/>
      <w:numFmt w:val="lowerRoman"/>
      <w:lvlText w:val="%3."/>
      <w:lvlJc w:val="right"/>
      <w:pPr>
        <w:ind w:left="1660" w:hanging="420"/>
      </w:pPr>
    </w:lvl>
    <w:lvl w:ilvl="3" w:tentative="1">
      <w:start w:val="1"/>
      <w:numFmt w:val="decimal"/>
      <w:lvlText w:val="%4."/>
      <w:lvlJc w:val="left"/>
      <w:pPr>
        <w:ind w:left="2080" w:hanging="420"/>
      </w:pPr>
    </w:lvl>
    <w:lvl w:ilvl="4" w:tentative="1">
      <w:start w:val="1"/>
      <w:numFmt w:val="lowerLetter"/>
      <w:lvlText w:val="%5)"/>
      <w:lvlJc w:val="left"/>
      <w:pPr>
        <w:ind w:left="2500" w:hanging="420"/>
      </w:pPr>
    </w:lvl>
    <w:lvl w:ilvl="5" w:tentative="1">
      <w:start w:val="1"/>
      <w:numFmt w:val="lowerRoman"/>
      <w:lvlText w:val="%6."/>
      <w:lvlJc w:val="right"/>
      <w:pPr>
        <w:ind w:left="2920" w:hanging="420"/>
      </w:pPr>
    </w:lvl>
    <w:lvl w:ilvl="6" w:tentative="1">
      <w:start w:val="1"/>
      <w:numFmt w:val="decimal"/>
      <w:lvlText w:val="%7."/>
      <w:lvlJc w:val="left"/>
      <w:pPr>
        <w:ind w:left="3340" w:hanging="420"/>
      </w:pPr>
    </w:lvl>
    <w:lvl w:ilvl="7" w:tentative="1">
      <w:start w:val="1"/>
      <w:numFmt w:val="lowerLetter"/>
      <w:lvlText w:val="%8)"/>
      <w:lvlJc w:val="left"/>
      <w:pPr>
        <w:ind w:left="3760" w:hanging="420"/>
      </w:pPr>
    </w:lvl>
    <w:lvl w:ilvl="8" w:tentative="1">
      <w:start w:val="1"/>
      <w:numFmt w:val="lowerRoman"/>
      <w:lvlText w:val="%9."/>
      <w:lvlJc w:val="right"/>
      <w:pPr>
        <w:ind w:left="4180" w:hanging="420"/>
      </w:pPr>
    </w:lvl>
  </w:abstractNum>
  <w:num w:numId="1">
    <w:abstractNumId w:val="1610045590"/>
  </w:num>
  <w:num w:numId="2">
    <w:abstractNumId w:val="20019306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703A4"/>
    <w:rsid w:val="00026B41"/>
    <w:rsid w:val="000361E7"/>
    <w:rsid w:val="00046450"/>
    <w:rsid w:val="0005159B"/>
    <w:rsid w:val="0007113D"/>
    <w:rsid w:val="0008742E"/>
    <w:rsid w:val="000B6BC5"/>
    <w:rsid w:val="00127772"/>
    <w:rsid w:val="001663CF"/>
    <w:rsid w:val="00186209"/>
    <w:rsid w:val="001E09BF"/>
    <w:rsid w:val="001F13A1"/>
    <w:rsid w:val="00211E68"/>
    <w:rsid w:val="00213015"/>
    <w:rsid w:val="00243128"/>
    <w:rsid w:val="002D212C"/>
    <w:rsid w:val="002F605D"/>
    <w:rsid w:val="00313C27"/>
    <w:rsid w:val="00327B8B"/>
    <w:rsid w:val="00360F17"/>
    <w:rsid w:val="00393D7A"/>
    <w:rsid w:val="00395BE3"/>
    <w:rsid w:val="003D699F"/>
    <w:rsid w:val="003F20CC"/>
    <w:rsid w:val="00413943"/>
    <w:rsid w:val="00435795"/>
    <w:rsid w:val="00445DA9"/>
    <w:rsid w:val="00446A3A"/>
    <w:rsid w:val="004540A5"/>
    <w:rsid w:val="00485436"/>
    <w:rsid w:val="00545B1E"/>
    <w:rsid w:val="005B6A80"/>
    <w:rsid w:val="005D550B"/>
    <w:rsid w:val="00605646"/>
    <w:rsid w:val="006101C7"/>
    <w:rsid w:val="0062265F"/>
    <w:rsid w:val="00637DE4"/>
    <w:rsid w:val="00653F0F"/>
    <w:rsid w:val="0066558B"/>
    <w:rsid w:val="00670BD6"/>
    <w:rsid w:val="006C54DF"/>
    <w:rsid w:val="006C6D65"/>
    <w:rsid w:val="006F5933"/>
    <w:rsid w:val="007842F5"/>
    <w:rsid w:val="007A29F7"/>
    <w:rsid w:val="007E466A"/>
    <w:rsid w:val="007F193D"/>
    <w:rsid w:val="008332DF"/>
    <w:rsid w:val="00883D67"/>
    <w:rsid w:val="008961F9"/>
    <w:rsid w:val="008A740C"/>
    <w:rsid w:val="008E02E4"/>
    <w:rsid w:val="008E1B03"/>
    <w:rsid w:val="00927887"/>
    <w:rsid w:val="00974068"/>
    <w:rsid w:val="009A705D"/>
    <w:rsid w:val="009B6A01"/>
    <w:rsid w:val="009F22CC"/>
    <w:rsid w:val="00A02DF0"/>
    <w:rsid w:val="00A311C9"/>
    <w:rsid w:val="00A37B11"/>
    <w:rsid w:val="00A47FFD"/>
    <w:rsid w:val="00A52C22"/>
    <w:rsid w:val="00A61AF9"/>
    <w:rsid w:val="00AD0E65"/>
    <w:rsid w:val="00AF06C7"/>
    <w:rsid w:val="00B14859"/>
    <w:rsid w:val="00B43C07"/>
    <w:rsid w:val="00B572EB"/>
    <w:rsid w:val="00B84E48"/>
    <w:rsid w:val="00BA680C"/>
    <w:rsid w:val="00BD5DCA"/>
    <w:rsid w:val="00C27E64"/>
    <w:rsid w:val="00C36725"/>
    <w:rsid w:val="00C37AE7"/>
    <w:rsid w:val="00C37CC4"/>
    <w:rsid w:val="00C405DC"/>
    <w:rsid w:val="00C42D4A"/>
    <w:rsid w:val="00C61347"/>
    <w:rsid w:val="00C81C92"/>
    <w:rsid w:val="00CD60C8"/>
    <w:rsid w:val="00CD7055"/>
    <w:rsid w:val="00CD77DD"/>
    <w:rsid w:val="00D24A23"/>
    <w:rsid w:val="00D317E5"/>
    <w:rsid w:val="00D45ED1"/>
    <w:rsid w:val="00D51039"/>
    <w:rsid w:val="00DC176E"/>
    <w:rsid w:val="00DC4DF5"/>
    <w:rsid w:val="00DF118C"/>
    <w:rsid w:val="00DF789C"/>
    <w:rsid w:val="00E04439"/>
    <w:rsid w:val="00E2724C"/>
    <w:rsid w:val="00E77D39"/>
    <w:rsid w:val="00E95E88"/>
    <w:rsid w:val="00EB014F"/>
    <w:rsid w:val="00ED2085"/>
    <w:rsid w:val="00EF781A"/>
    <w:rsid w:val="00F21A1C"/>
    <w:rsid w:val="00F64839"/>
    <w:rsid w:val="00F703A4"/>
    <w:rsid w:val="00F73F75"/>
    <w:rsid w:val="00FC34F2"/>
    <w:rsid w:val="00FC55AC"/>
    <w:rsid w:val="5B5E7085"/>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4"/>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19"/>
    <w:unhideWhenUsed/>
    <w:uiPriority w:val="99"/>
    <w:rPr>
      <w:b/>
      <w:bCs/>
    </w:rPr>
  </w:style>
  <w:style w:type="paragraph" w:styleId="4">
    <w:name w:val="annotation text"/>
    <w:basedOn w:val="1"/>
    <w:link w:val="18"/>
    <w:unhideWhenUsed/>
    <w:qFormat/>
    <w:uiPriority w:val="99"/>
    <w:pPr>
      <w:jc w:val="left"/>
    </w:pPr>
  </w:style>
  <w:style w:type="paragraph" w:styleId="5">
    <w:name w:val="Balloon Text"/>
    <w:basedOn w:val="1"/>
    <w:link w:val="15"/>
    <w:unhideWhenUsed/>
    <w:uiPriority w:val="99"/>
    <w:rPr>
      <w:sz w:val="18"/>
      <w:szCs w:val="18"/>
    </w:rPr>
  </w:style>
  <w:style w:type="paragraph" w:styleId="6">
    <w:name w:val="footer"/>
    <w:basedOn w:val="1"/>
    <w:link w:val="17"/>
    <w:unhideWhenUsed/>
    <w:uiPriority w:val="99"/>
    <w:pPr>
      <w:tabs>
        <w:tab w:val="center" w:pos="4153"/>
        <w:tab w:val="right" w:pos="8306"/>
      </w:tabs>
      <w:snapToGrid w:val="0"/>
      <w:jc w:val="left"/>
    </w:pPr>
    <w:rPr>
      <w:sz w:val="18"/>
      <w:szCs w:val="18"/>
    </w:rPr>
  </w:style>
  <w:style w:type="paragraph" w:styleId="7">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Hyperlink"/>
    <w:basedOn w:val="9"/>
    <w:unhideWhenUsed/>
    <w:uiPriority w:val="99"/>
    <w:rPr>
      <w:color w:val="0000FF"/>
      <w:u w:val="single"/>
    </w:rPr>
  </w:style>
  <w:style w:type="character" w:styleId="12">
    <w:name w:val="annotation reference"/>
    <w:basedOn w:val="9"/>
    <w:unhideWhenUsed/>
    <w:uiPriority w:val="99"/>
    <w:rPr>
      <w:sz w:val="21"/>
      <w:szCs w:val="21"/>
    </w:rPr>
  </w:style>
  <w:style w:type="character" w:customStyle="1" w:styleId="14">
    <w:name w:val="标题 3 Char"/>
    <w:basedOn w:val="9"/>
    <w:link w:val="2"/>
    <w:uiPriority w:val="9"/>
    <w:rPr>
      <w:rFonts w:ascii="宋体" w:hAnsi="宋体" w:eastAsia="宋体" w:cs="宋体"/>
      <w:b/>
      <w:bCs/>
      <w:kern w:val="0"/>
      <w:sz w:val="27"/>
      <w:szCs w:val="27"/>
    </w:rPr>
  </w:style>
  <w:style w:type="character" w:customStyle="1" w:styleId="15">
    <w:name w:val="批注框文本 Char"/>
    <w:basedOn w:val="9"/>
    <w:link w:val="5"/>
    <w:semiHidden/>
    <w:uiPriority w:val="99"/>
    <w:rPr>
      <w:sz w:val="18"/>
      <w:szCs w:val="18"/>
    </w:rPr>
  </w:style>
  <w:style w:type="character" w:customStyle="1" w:styleId="16">
    <w:name w:val="页眉 Char"/>
    <w:basedOn w:val="9"/>
    <w:link w:val="7"/>
    <w:uiPriority w:val="99"/>
    <w:rPr>
      <w:sz w:val="18"/>
      <w:szCs w:val="18"/>
    </w:rPr>
  </w:style>
  <w:style w:type="character" w:customStyle="1" w:styleId="17">
    <w:name w:val="页脚 Char"/>
    <w:basedOn w:val="9"/>
    <w:link w:val="6"/>
    <w:qFormat/>
    <w:uiPriority w:val="99"/>
    <w:rPr>
      <w:sz w:val="18"/>
      <w:szCs w:val="18"/>
    </w:rPr>
  </w:style>
  <w:style w:type="character" w:customStyle="1" w:styleId="18">
    <w:name w:val="批注文字 Char"/>
    <w:basedOn w:val="9"/>
    <w:link w:val="4"/>
    <w:semiHidden/>
    <w:uiPriority w:val="99"/>
  </w:style>
  <w:style w:type="character" w:customStyle="1" w:styleId="19">
    <w:name w:val="批注主题 Char"/>
    <w:basedOn w:val="18"/>
    <w:link w:val="3"/>
    <w:semiHidden/>
    <w:uiPriority w:val="99"/>
    <w:rPr>
      <w:b/>
      <w:bCs/>
    </w:rPr>
  </w:style>
  <w:style w:type="paragraph" w:customStyle="1" w:styleId="20">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A2E814-45A5-4851-90B1-26F946D03CF1}">
  <ds:schemaRefs/>
</ds:datastoreItem>
</file>

<file path=docProps/app.xml><?xml version="1.0" encoding="utf-8"?>
<Properties xmlns="http://schemas.openxmlformats.org/officeDocument/2006/extended-properties" xmlns:vt="http://schemas.openxmlformats.org/officeDocument/2006/docPropsVTypes">
  <Template>Normal</Template>
  <Pages>18</Pages>
  <Words>915</Words>
  <Characters>5216</Characters>
  <Lines>43</Lines>
  <Paragraphs>12</Paragraphs>
  <TotalTime>0</TotalTime>
  <ScaleCrop>false</ScaleCrop>
  <LinksUpToDate>false</LinksUpToDate>
  <CharactersWithSpaces>6119</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2019-01-18T01:00:00Z</dcterms:created>
  <dc:creator>bgs</dc:creator>
  <cp:lastModifiedBy>user</cp:lastModifiedBy>
  <cp:lastPrinted>2019-01-25T03:39:00Z</cp:lastPrinted>
  <dcterms:modified xsi:type="dcterms:W3CDTF">2019-03-29T02:11:44Z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