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山东省农业农村厅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2018年政府信息公开工作年度报告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和《山东省政府信息公开办法》编制，内容包括概述、主动公开政府信息情况、依申请公开(不予公开及收费减免)情况、行政复议诉讼及举报、保密审查情况、存在的主要问题和改进措施等七个部分，以及相关统计附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。本报告中所列数据的统计期限为201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年12月31日。本报告可在山东省人民政府门户网(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"http://www.sd.gov.cn/"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www.shandong.gov.cn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)和山东省农业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厅门户网站(www.sdny.gov.cn)查阅或下载。公民、法人或者其他组织如有其他需求或建议，可与山东省农业厅办公室联系，联系地址：山东省济南市历下区十亩园东街7号，邮编：250013；联系电话：0531-82352821 67866021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传真： 0531-82352946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年，我厅认真贯彻落实中央和省委、省政府政务公开相关文件精神，按照《山东省人民政府办公厅关于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政务公开工作的通知》（鲁政办发〔201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号）要求，紧紧围绕我厅工作职能和中心工作，坚持公开为常态、不公开为例外，全面推进决策、执行、管理、服务和结果“五公开”，不断加大农业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重点领域和群众关注信息的公开力度，提高农业领域透明度。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二、政府信息公开情况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我厅将门户网站和微博、微信等新媒体作为主动公开政府信息、回应社会关切的主平台，201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6730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条，其中通过网站公开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5628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条，通过微博、微信等新媒体公开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2547620" cy="3195955"/>
            <wp:effectExtent l="4445" t="4445" r="19685" b="1905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2590165" cy="3217545"/>
            <wp:effectExtent l="0" t="0" r="63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（一）组织领导和制度建设情况 。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政府信息公开工作由厅主要负责人总牵头，明确分管负责人具体领导信息公开和新闻发布工作。厅办公室、政策法规处、省农业信息中心、现代农业农村发展研究中心等单位建立工作协调机制，推进、指导和监督全厅信息公开工作。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《山东省农业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政府信息公开规定》对政府信息主动公开范围、公开方式、公开程序、工作考核和责任追究作出明确规定。加强新闻发布制度建设，确定一名厅领导为新闻发言人，牵头负责新闻发言工作，办公室会同业务单位协调推进，新闻发布工作机制和程序不断完善。不断规范依申请公开工作运行机制，明确工作责任，提高回复质量，同时，聘请专业法律顾问严格把关，确保政府信息依申请公开工作回复准确规范。 通过厅长信箱、纪检信箱和咨询信箱等窗口，广泛听取意见，自觉接受社会各界和新闻舆论的监督。 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5420" cy="2579370"/>
            <wp:effectExtent l="0" t="0" r="11430" b="11430"/>
            <wp:docPr id="3" name="图片 3" descr="《关于加快发展农业“新六产”的意见新闻发布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《关于加快发展农业“新六产”的意见新闻发布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（二）发布解读、回应社会关切以及互动交流情况 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对社会关注度较高的热点问题，比如农产品质量安全、农业“新六产”、农村产权制度改革、土地确权颁证等内容，通过山东农业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厅官网“惠农政策”和“政策解读”栏目，举办新闻发布会、阳光政务热线解答群众疑问等多种形式对政策进行解读，及时公布相关信息，确保公众的知情权。201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场新闻发布会，及时解读政策、通报情况、解答问题，扩大了宣传面，取得了很好效果。通过咨询信箱、在线访谈等方式，加强与社会公众的互动交流。通过政务微博、微信等新载体形式，及时有效地公开政府信息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33670" cy="3323590"/>
            <wp:effectExtent l="0" t="0" r="5080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</w:t>
      </w:r>
      <w:r>
        <w:rPr>
          <w:rFonts w:hint="eastAsia" w:ascii="楷体_GB2312" w:hAnsi="楷体_GB2312" w:eastAsia="楷体_GB2312" w:cs="楷体_GB2312"/>
          <w:sz w:val="32"/>
          <w:szCs w:val="32"/>
        </w:rPr>
        <w:t>（三）重点领域政府信息公开推进情况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今年，我厅围绕着省委、省政府关于贯彻落实乡村振兴重大战略举措，及时公开深入解读“三农”政策和强农惠农富农举措，把政策措施讲彻底，讲明白。先后在我厅网站发布了《山东省乡村振兴战略规划（2018-2022年）》、《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"http://www.sdny.gov.cn/snyw/fzgh/201807/t20180724_1421336.html" \o "山东省新旧动能转换现代高效农业专项规划（2018-2022年）"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山东省新旧动能转换现代高效农业专项规划（2018-2022年）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》、《山东省农业“新六产”发展规划》等重要文件，并通过召开新闻发布会、在线访谈等形式及时将相关政策进行解读和宣贯。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围绕着“三大攻坚任务”，及时公开农业农村污染治理和生态保护政策措施、工作进展、实施效果等信息。及时在网站公布了省政府印发的《山东省打好农业农村污染治理攻坚战作战方案（2018—2020年）》等重要文件，宣传打好污染防治攻坚战的决策部署。同时制定和公布加快我省调整农业投入结构、强化农业生产污染综合防治、实施农村人居环境整治三年行动等方案；快速回应在农业农村环境整治方面的社会关切和公众期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预决算信息公开。在“财务管理”栏目公开我厅201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年部门预算、201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年部门决算及“三公”经费预决算情况。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三、政府信息依申请公开情况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年，我厅共收到政府信息公开申请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均按规定进行了办理。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从申请内容看，涉及到种粮补贴、农产品质量安全、土地流转等；从申请形式看，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件通过互联网申请，5件为信函申请；从答复情况看，对申请人“全部公开”的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件，“非本机关掌握信息”的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件。不属于本机关掌握信息的申请事项，按照《政府信息公开条例》规定，告知申请人向其他职能部门提出申请。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、政府信息公开收费及减免情况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年度我厅未发生政府信息公开收费及减免情况。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、因政府信息公开申请提起行政复议、行政诉讼情况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年度我厅收到因政府信息公开申请提起行政复议2件，提起行政诉讼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件。 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、政府信息公开保密审查及监督检查情况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信息公开工作中，我厅严格执行信息发布保密审查制度。在办公内网设立保密审核选项，填写不予公开理由，坚持“先审核，后公开”的原则，做到“涉密信息不上网，上网信息不涉密”，确保上网信息的安全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年我厅未发生因政府信息公开不当引起的失泄密事件。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、存在的问题及改进措施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厅在推进信息公开工作取得了一些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，但仍然存在缺少专职机构、岗位和人员的问题。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社会公众对信息公开需求的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不断，省委省政府对政府信息公开工作的要求也更加严格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。下一步，我们将按照省政府的统一部署，结合工作实际，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进一步改进工作。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一是梳理我厅主动公开基本目录，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抓好重点领域、重要决策、重大事项公开，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推进政务公开标准化、规范化水平；二是做好厅长办公会和有关工作会议公开工作；三是加大政策解读力度。加强厅门户网站政策解读专栏建设，对我厅牵头起草的重要政策性文件，采用多种形式，深入浅出、通俗易懂地解读政策，进一步扩大政策传播范围；四是加强公众互动交流。在厅门户网站开展意见征集、在线调查、在线咨询等活动，广泛倾听公众意见建议，接受社会批评监督，对网民重要意见建议及时进行回应。五是加强业务人员培训工作，通过开展培训会和交流会，提高业务人员的素质，提升工作能力和水平。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山东省农业农村厅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2018年1月14日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</w:p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 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44"/>
          <w:szCs w:val="44"/>
        </w:rPr>
        <w:t>年度政府信息公开工作情况统计表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（农业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农村</w:t>
      </w:r>
      <w:r>
        <w:rPr>
          <w:rFonts w:hint="eastAsia" w:ascii="楷体" w:hAnsi="楷体" w:eastAsia="楷体" w:cs="楷体"/>
          <w:sz w:val="32"/>
          <w:szCs w:val="32"/>
        </w:rPr>
        <w:t>厅）</w:t>
      </w:r>
    </w:p>
    <w:tbl>
      <w:tblPr>
        <w:tblStyle w:val="5"/>
        <w:tblW w:w="94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5"/>
        <w:gridCol w:w="99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　计　指　标</w:t>
            </w:r>
          </w:p>
        </w:tc>
        <w:tc>
          <w:tcPr>
            <w:tcW w:w="9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0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一、主动公开情况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（一）主动公开政府信息数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（不同渠道和方式公开相同信息计1条）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其中：主动公开规范性文件数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制发规范性文件总数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（二）通过不同渠道和方式公开政府信息的情况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1.政府公报公开政府信息数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2.政府网站公开政府信息数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3.政务微博公开政府信息数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4.政务微信公开政府信息数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5.其他方式公开政府信息数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二、回应解读情况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（一）回应公众关注热点或重大舆情数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 （不同方式回应同一热点或舆情计1次）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（二）通过不同渠道和方式回应解读的情况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1.参加或举办新闻发布会总次数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其中：主要负责同志参加新闻发布会次数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2.政府网站在线访谈次数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其中：主要负责同志参加政府网站在线访谈次数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3.政策解读稿件发布数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篇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4.微博微信回应事件数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5.其他方式回应事件数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三、依申请公开情况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0A0A0A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（一）收到申请数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1.当面申请数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2.传真申请数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3.网络申请数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single" w:color="auto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4.信函申请数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single" w:color="auto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       5.其他形式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（二）申请办结数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1.按时办结数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2.延期办结数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（三）申请答复数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1.属于已主动公开范围数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2.同意公开答复数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3.同意部分公开答复数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4.不同意公开答复数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 　其中：涉及国家秘密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 涉及商业秘密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 涉及个人隐私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 危及国家安全、公共安全、经济安全和社会稳定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 不是《条例》所指政府信息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 法律法规规定的其他情形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5.不属于本行政机关公开数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6.申请信息不存在数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7.告知作出更改补充数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8.告知通过其他途径办理数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四、行政复议数量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（一）维持具体行政行为数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（二）被依法纠错数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（三）其他情形数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五、行政诉讼数量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（一）维持具体行政行为或者驳回原告诉讼请求数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（二）被依法纠错数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（三）其他情形数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六、被举报投诉数量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（一）维持具体行政行为数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（二）被纠错数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（三）其他情形数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七、向图书馆、档案馆等查阅场所报送信息数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（一）纸质文件数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（二）电子文件数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八、机构建设和保障经费情况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（一）政府信息公开工作专门机构数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（二）设置政府信息公开查阅点数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（三）从事政府信息公开工作人员数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1.专职人员数（不包括政府公报及政府网站工作人员数）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2.兼职人员数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九、政府信息公开会议和培训情况</w:t>
            </w:r>
          </w:p>
        </w:tc>
        <w:tc>
          <w:tcPr>
            <w:tcW w:w="99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（一）召开政府信息公开工作会议或专题会议数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（二）举办各类培训班数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39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（三）接受培训人员数</w:t>
            </w:r>
          </w:p>
        </w:tc>
        <w:tc>
          <w:tcPr>
            <w:tcW w:w="99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人次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（注：各子栏目数总数要等于总栏目数量）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2C55"/>
    <w:rsid w:val="00F17A5A"/>
    <w:rsid w:val="081727B1"/>
    <w:rsid w:val="0C247D8D"/>
    <w:rsid w:val="19157665"/>
    <w:rsid w:val="1AC968C5"/>
    <w:rsid w:val="1ADA3F83"/>
    <w:rsid w:val="1F6F0E06"/>
    <w:rsid w:val="23522C55"/>
    <w:rsid w:val="25DB7E8D"/>
    <w:rsid w:val="27CA7645"/>
    <w:rsid w:val="2EA4771D"/>
    <w:rsid w:val="33452803"/>
    <w:rsid w:val="336809D4"/>
    <w:rsid w:val="39EF4C47"/>
    <w:rsid w:val="4B5F693E"/>
    <w:rsid w:val="4E6B6A4F"/>
    <w:rsid w:val="5A6C2915"/>
    <w:rsid w:val="5AA57F32"/>
    <w:rsid w:val="5C037E80"/>
    <w:rsid w:val="5FBE32F8"/>
    <w:rsid w:val="63CF0962"/>
    <w:rsid w:val="68C3377A"/>
    <w:rsid w:val="6C114246"/>
    <w:rsid w:val="738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山东省农业农村厅政务信息公开情况</a:t>
            </a:r>
          </a:p>
        </c:rich>
      </c:tx>
      <c:layout>
        <c:manualLayout>
          <c:xMode val="edge"/>
          <c:yMode val="edge"/>
          <c:x val="0.144974184782119"/>
          <c:y val="0.039909946786737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[工作簿3]Sheet1!$A$1:$A$3</c:f>
              <c:strCache>
                <c:ptCount val="3"/>
                <c:pt idx="0">
                  <c:v>政府网站公开政府信息数</c:v>
                </c:pt>
                <c:pt idx="1">
                  <c:v>政务微博公开政府信息数</c:v>
                </c:pt>
                <c:pt idx="2">
                  <c:v>政务微信公开政府信息数</c:v>
                </c:pt>
              </c:strCache>
            </c:strRef>
          </c:cat>
          <c:val>
            <c:numRef>
              <c:f>[工作簿3]Sheet1!$B$1:$B$3</c:f>
              <c:numCache>
                <c:formatCode>General</c:formatCode>
                <c:ptCount val="3"/>
                <c:pt idx="0">
                  <c:v>5628</c:v>
                </c:pt>
                <c:pt idx="1">
                  <c:v>520</c:v>
                </c:pt>
                <c:pt idx="2">
                  <c:v>582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2019-01-04T09:27:00Z</dcterms:created>
  <dc:creator>悠悠</dc:creator>
  <cp:lastModifiedBy>Administrator</cp:lastModifiedBy>
  <dcterms:modified xsi:type="dcterms:W3CDTF">2019-01-24T09:30:41Z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