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小标宋简体" w:hAnsi="方正小标宋简体" w:eastAsia="方正小标宋简体" w:cs="方正小标宋简体"/>
          <w:sz w:val="44"/>
          <w:szCs w:val="44"/>
          <w:lang w:eastAsia="zh-CN"/>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原山东省文化厅</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201</w:t>
      </w:r>
      <w:r>
        <w:rPr>
          <w:rFonts w:hint="eastAsia" w:ascii="方正小标宋简体" w:hAnsi="方正小标宋简体" w:eastAsia="方正小标宋简体" w:cs="方正小标宋简体"/>
          <w:sz w:val="44"/>
          <w:szCs w:val="44"/>
          <w:lang w:val="en-US" w:eastAsia="zh-CN"/>
        </w:rPr>
        <w:t>8</w:t>
      </w:r>
      <w:r>
        <w:rPr>
          <w:rFonts w:hint="eastAsia" w:ascii="方正小标宋简体" w:hAnsi="方正小标宋简体" w:eastAsia="方正小标宋简体" w:cs="方正小标宋简体"/>
          <w:sz w:val="44"/>
          <w:szCs w:val="44"/>
        </w:rPr>
        <w:t>年度政府信息公开</w:t>
      </w:r>
      <w:r>
        <w:rPr>
          <w:rFonts w:hint="eastAsia" w:ascii="方正小标宋简体" w:hAnsi="方正小标宋简体" w:eastAsia="方正小标宋简体" w:cs="方正小标宋简体"/>
          <w:sz w:val="44"/>
          <w:szCs w:val="44"/>
          <w:lang w:eastAsia="zh-CN"/>
        </w:rPr>
        <w:t>年度</w:t>
      </w:r>
      <w:r>
        <w:rPr>
          <w:rFonts w:hint="eastAsia" w:ascii="方正小标宋简体" w:hAnsi="方正小标宋简体" w:eastAsia="方正小标宋简体" w:cs="方正小标宋简体"/>
          <w:sz w:val="44"/>
          <w:szCs w:val="44"/>
        </w:rPr>
        <w:t>报告</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本报告根据《中华人民共和国政府信息公开条例》(以下简称《条例》)有关要求编制。全文内容包括概述、政府信息主动公开情况、政府信息依申请公开情况、政府信息公开收费及减免情况、因政府信息公开申请行政复议和提起行政诉讼的情况、存在的主要问题及下一步工作六个部分。报告中所列数据的统计期限自</w:t>
      </w:r>
      <w:r>
        <w:rPr>
          <w:rFonts w:hint="eastAsia" w:ascii="仿宋_GB2312" w:hAnsi="仿宋_GB2312" w:eastAsia="仿宋_GB2312" w:cs="仿宋_GB2312"/>
          <w:sz w:val="32"/>
          <w:szCs w:val="32"/>
          <w:highlight w:val="none"/>
        </w:rPr>
        <w:t>20</w:t>
      </w:r>
      <w:r>
        <w:rPr>
          <w:rFonts w:hint="eastAsia" w:ascii="仿宋_GB2312" w:hAnsi="仿宋_GB2312" w:eastAsia="仿宋_GB2312" w:cs="仿宋_GB2312"/>
          <w:sz w:val="32"/>
          <w:szCs w:val="32"/>
          <w:highlight w:val="none"/>
          <w:lang w:val="en-US" w:eastAsia="zh-CN"/>
        </w:rPr>
        <w:t>18</w:t>
      </w:r>
      <w:r>
        <w:rPr>
          <w:rFonts w:hint="eastAsia" w:ascii="仿宋_GB2312" w:hAnsi="仿宋_GB2312" w:eastAsia="仿宋_GB2312" w:cs="仿宋_GB2312"/>
          <w:sz w:val="32"/>
          <w:szCs w:val="32"/>
          <w:highlight w:val="none"/>
        </w:rPr>
        <w:t>年1月1日起至20</w:t>
      </w:r>
      <w:r>
        <w:rPr>
          <w:rFonts w:hint="eastAsia" w:ascii="仿宋_GB2312" w:hAnsi="仿宋_GB2312" w:eastAsia="仿宋_GB2312" w:cs="仿宋_GB2312"/>
          <w:sz w:val="32"/>
          <w:szCs w:val="32"/>
          <w:highlight w:val="none"/>
          <w:lang w:val="en-US" w:eastAsia="zh-CN"/>
        </w:rPr>
        <w:t>18</w:t>
      </w:r>
      <w:r>
        <w:rPr>
          <w:rFonts w:hint="eastAsia" w:ascii="仿宋_GB2312" w:hAnsi="仿宋_GB2312" w:eastAsia="仿宋_GB2312" w:cs="仿宋_GB2312"/>
          <w:sz w:val="32"/>
          <w:szCs w:val="32"/>
          <w:highlight w:val="none"/>
        </w:rPr>
        <w:t>年12月31日止。</w:t>
      </w:r>
      <w:r>
        <w:rPr>
          <w:rFonts w:hint="eastAsia" w:ascii="仿宋_GB2312" w:hAnsi="仿宋_GB2312" w:eastAsia="仿宋_GB2312" w:cs="仿宋_GB2312"/>
          <w:sz w:val="32"/>
          <w:szCs w:val="32"/>
        </w:rPr>
        <w:t>如对本报告有疑问，</w:t>
      </w:r>
      <w:r>
        <w:rPr>
          <w:rFonts w:hint="eastAsia" w:ascii="仿宋_GB2312" w:hAnsi="仿宋_GB2312" w:eastAsia="仿宋_GB2312" w:cs="仿宋_GB2312"/>
          <w:sz w:val="32"/>
          <w:szCs w:val="32"/>
          <w:highlight w:val="none"/>
        </w:rPr>
        <w:t>请联系</w:t>
      </w:r>
      <w:r>
        <w:rPr>
          <w:rFonts w:hint="eastAsia" w:ascii="仿宋_GB2312" w:hAnsi="仿宋_GB2312" w:eastAsia="仿宋_GB2312" w:cs="仿宋_GB2312"/>
          <w:sz w:val="32"/>
          <w:szCs w:val="32"/>
          <w:lang w:val="en-US" w:eastAsia="zh-CN"/>
        </w:rPr>
        <w:t>0531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86568705</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一、概述</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sz w:val="32"/>
          <w:szCs w:val="32"/>
          <w:highlight w:val="none"/>
        </w:rPr>
        <w:t>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eastAsia="zh-CN"/>
        </w:rPr>
        <w:t>省</w:t>
      </w:r>
      <w:r>
        <w:rPr>
          <w:rFonts w:hint="eastAsia" w:ascii="仿宋_GB2312" w:hAnsi="仿宋_GB2312" w:eastAsia="仿宋_GB2312" w:cs="仿宋_GB2312"/>
          <w:sz w:val="32"/>
          <w:szCs w:val="32"/>
        </w:rPr>
        <w:t>文化</w:t>
      </w:r>
      <w:r>
        <w:rPr>
          <w:rFonts w:hint="eastAsia" w:ascii="仿宋_GB2312" w:hAnsi="仿宋_GB2312" w:eastAsia="仿宋_GB2312" w:cs="仿宋_GB2312"/>
          <w:sz w:val="32"/>
          <w:szCs w:val="32"/>
          <w:lang w:eastAsia="zh-CN"/>
        </w:rPr>
        <w:t>厅</w:t>
      </w:r>
      <w:r>
        <w:rPr>
          <w:rFonts w:hint="eastAsia" w:ascii="仿宋_GB2312" w:hAnsi="仿宋_GB2312" w:eastAsia="仿宋_GB2312" w:cs="仿宋_GB2312"/>
          <w:sz w:val="32"/>
          <w:szCs w:val="32"/>
        </w:rPr>
        <w:t>认真贯彻落实《条例》和</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eastAsia="zh-CN"/>
        </w:rPr>
        <w:t>国务院办公厅</w:t>
      </w:r>
      <w:r>
        <w:rPr>
          <w:rFonts w:hint="eastAsia" w:ascii="仿宋_GB2312" w:hAnsi="仿宋_GB2312" w:eastAsia="仿宋_GB2312" w:cs="仿宋_GB2312"/>
          <w:sz w:val="32"/>
          <w:szCs w:val="32"/>
          <w:highlight w:val="none"/>
        </w:rPr>
        <w:t>关于全面推进政务公开工作的意见》《</w:t>
      </w:r>
      <w:r>
        <w:rPr>
          <w:rFonts w:hint="eastAsia" w:ascii="仿宋_GB2312" w:hAnsi="仿宋_GB2312" w:eastAsia="仿宋_GB2312" w:cs="仿宋_GB2312"/>
          <w:sz w:val="32"/>
          <w:szCs w:val="32"/>
          <w:highlight w:val="none"/>
          <w:lang w:eastAsia="zh-CN"/>
        </w:rPr>
        <w:t>国务院</w:t>
      </w:r>
      <w:r>
        <w:rPr>
          <w:rFonts w:hint="eastAsia" w:ascii="仿宋_GB2312" w:hAnsi="仿宋_GB2312" w:eastAsia="仿宋_GB2312" w:cs="仿宋_GB2312"/>
          <w:sz w:val="32"/>
          <w:szCs w:val="32"/>
          <w:highlight w:val="none"/>
        </w:rPr>
        <w:t>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年政府信息公开工作要点》</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auto"/>
          <w:sz w:val="32"/>
          <w:szCs w:val="32"/>
          <w:highlight w:val="none"/>
          <w:u w:val="none"/>
          <w:lang w:eastAsia="zh-CN"/>
        </w:rPr>
        <w:t>山东省人民政府办公厅关于进一步做好政务公开工作的通知</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要求</w:t>
      </w:r>
      <w:r>
        <w:rPr>
          <w:rFonts w:hint="eastAsia" w:ascii="仿宋_GB2312" w:hAnsi="仿宋_GB2312" w:eastAsia="仿宋_GB2312" w:cs="仿宋_GB2312"/>
          <w:sz w:val="32"/>
          <w:szCs w:val="32"/>
        </w:rPr>
        <w:t>，将政府信息公开工作作为推进依法行政、建设法治政府的重要内容，以公开促落实、促规范、促服务，全面推进决策、执行、管理、服务、结果公开，加强文化政策解读回应，扩大公众参与，切实保障公众知情权、参与权、表达权和监督权，主要开展以下工作。</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(一)</w:t>
      </w:r>
      <w:r>
        <w:rPr>
          <w:rFonts w:hint="eastAsia" w:ascii="仿宋_GB2312" w:hAnsi="仿宋_GB2312" w:eastAsia="仿宋_GB2312" w:cs="仿宋_GB2312"/>
          <w:b/>
          <w:bCs/>
          <w:sz w:val="32"/>
          <w:szCs w:val="32"/>
          <w:lang w:eastAsia="zh-CN"/>
        </w:rPr>
        <w:t>制定政务公开实施方案。</w:t>
      </w:r>
      <w:r>
        <w:rPr>
          <w:rFonts w:hint="eastAsia" w:ascii="仿宋_GB2312" w:hAnsi="仿宋_GB2312" w:eastAsia="仿宋_GB2312" w:cs="仿宋_GB2312"/>
          <w:sz w:val="32"/>
          <w:szCs w:val="32"/>
          <w:highlight w:val="none"/>
        </w:rPr>
        <w:t>制定并实施《</w:t>
      </w:r>
      <w:r>
        <w:rPr>
          <w:rFonts w:hint="eastAsia" w:ascii="仿宋_GB2312" w:hAnsi="仿宋_GB2312" w:eastAsia="仿宋_GB2312" w:cs="仿宋_GB2312"/>
          <w:sz w:val="32"/>
          <w:szCs w:val="32"/>
          <w:highlight w:val="none"/>
          <w:lang w:eastAsia="zh-CN"/>
        </w:rPr>
        <w:t>山东省</w:t>
      </w:r>
      <w:r>
        <w:rPr>
          <w:rFonts w:hint="eastAsia" w:ascii="仿宋_GB2312" w:hAnsi="仿宋_GB2312" w:eastAsia="仿宋_GB2312" w:cs="仿宋_GB2312"/>
          <w:sz w:val="32"/>
          <w:szCs w:val="32"/>
          <w:highlight w:val="none"/>
        </w:rPr>
        <w:t>文化</w:t>
      </w:r>
      <w:r>
        <w:rPr>
          <w:rFonts w:hint="eastAsia" w:ascii="仿宋_GB2312" w:hAnsi="仿宋_GB2312" w:eastAsia="仿宋_GB2312" w:cs="仿宋_GB2312"/>
          <w:sz w:val="32"/>
          <w:szCs w:val="32"/>
          <w:highlight w:val="none"/>
          <w:lang w:eastAsia="zh-CN"/>
        </w:rPr>
        <w:t>厅</w:t>
      </w:r>
      <w:r>
        <w:rPr>
          <w:rFonts w:hint="eastAsia" w:ascii="仿宋_GB2312" w:hAnsi="仿宋_GB2312" w:eastAsia="仿宋_GB2312" w:cs="仿宋_GB2312"/>
          <w:sz w:val="32"/>
          <w:szCs w:val="32"/>
          <w:highlight w:val="none"/>
        </w:rPr>
        <w:t>关于贯彻落实&lt;201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年政务公开工作要点&gt;的实施方案》，</w:t>
      </w:r>
      <w:bookmarkStart w:id="0" w:name="_GoBack"/>
      <w:bookmarkEnd w:id="0"/>
      <w:r>
        <w:rPr>
          <w:rFonts w:hint="eastAsia" w:ascii="仿宋_GB2312" w:hAnsi="仿宋_GB2312" w:eastAsia="仿宋_GB2312" w:cs="仿宋_GB2312"/>
          <w:sz w:val="32"/>
          <w:szCs w:val="32"/>
        </w:rPr>
        <w:t>对重点政务信息公开、公众互动回应、政务公开能力建设、协调机制建立等方面提出硬性要求和量化标准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促进政务公开服务信息化、规范化、协同化发展，严格加强信息发布管理。</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w:t>
      </w:r>
      <w:r>
        <w:rPr>
          <w:rFonts w:hint="eastAsia" w:ascii="仿宋_GB2312" w:hAnsi="仿宋_GB2312" w:eastAsia="仿宋_GB2312" w:cs="仿宋_GB2312"/>
          <w:b/>
          <w:bCs/>
          <w:sz w:val="32"/>
          <w:szCs w:val="32"/>
        </w:rPr>
        <w:t>(二)推进重点信息公开。</w:t>
      </w:r>
      <w:r>
        <w:rPr>
          <w:rFonts w:hint="eastAsia" w:ascii="仿宋_GB2312" w:hAnsi="仿宋_GB2312" w:eastAsia="仿宋_GB2312" w:cs="仿宋_GB2312"/>
          <w:sz w:val="32"/>
          <w:szCs w:val="32"/>
          <w:highlight w:val="none"/>
        </w:rPr>
        <w:t>督促加强重要文化政策法规，部门预算、决算，</w:t>
      </w:r>
      <w:r>
        <w:rPr>
          <w:rFonts w:hint="eastAsia" w:ascii="仿宋_GB2312" w:hAnsi="仿宋_GB2312" w:eastAsia="仿宋_GB2312" w:cs="仿宋_GB2312"/>
          <w:sz w:val="32"/>
          <w:szCs w:val="32"/>
          <w:highlight w:val="none"/>
          <w:lang w:eastAsia="zh-CN"/>
        </w:rPr>
        <w:t>公共文化服务</w:t>
      </w:r>
      <w:r>
        <w:rPr>
          <w:rFonts w:hint="eastAsia" w:ascii="仿宋_GB2312" w:hAnsi="仿宋_GB2312" w:eastAsia="仿宋_GB2312" w:cs="仿宋_GB2312"/>
          <w:sz w:val="32"/>
          <w:szCs w:val="32"/>
          <w:highlight w:val="none"/>
        </w:rPr>
        <w:t>，文化惠民举措进展完成情况以及“全国人大建议、政协提案答复”等重点信息及时公开。在政府信息公开专页“文化市场随机抽查事项”专栏，公布抽查事项清单和抽查结果，方便公众查询;201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年公开涉及公众利益的“两会”建议提案答复函。</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drawing>
          <wp:anchor distT="0" distB="0" distL="114935" distR="114935" simplePos="0" relativeHeight="251662336" behindDoc="0" locked="0" layoutInCell="1" allowOverlap="1">
            <wp:simplePos x="0" y="0"/>
            <wp:positionH relativeFrom="column">
              <wp:posOffset>354965</wp:posOffset>
            </wp:positionH>
            <wp:positionV relativeFrom="paragraph">
              <wp:posOffset>3087370</wp:posOffset>
            </wp:positionV>
            <wp:extent cx="4410075" cy="2563495"/>
            <wp:effectExtent l="0" t="0" r="9525" b="825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4410075" cy="2563495"/>
                    </a:xfrm>
                    <a:prstGeom prst="rect">
                      <a:avLst/>
                    </a:prstGeom>
                    <a:noFill/>
                    <a:ln w="9525">
                      <a:noFill/>
                    </a:ln>
                  </pic:spPr>
                </pic:pic>
              </a:graphicData>
            </a:graphic>
          </wp:anchor>
        </w:drawing>
      </w: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b/>
          <w:bCs/>
          <w:sz w:val="32"/>
          <w:szCs w:val="32"/>
        </w:rPr>
        <w:t>(三)主动做好政策解读。</w:t>
      </w:r>
      <w:r>
        <w:rPr>
          <w:rFonts w:hint="eastAsia" w:ascii="仿宋_GB2312" w:hAnsi="仿宋_GB2312" w:eastAsia="仿宋_GB2312" w:cs="仿宋_GB2312"/>
          <w:sz w:val="32"/>
          <w:szCs w:val="32"/>
          <w:highlight w:val="none"/>
        </w:rPr>
        <w:t>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年，针对《</w:t>
      </w:r>
      <w:r>
        <w:rPr>
          <w:rFonts w:hint="eastAsia" w:ascii="仿宋_GB2312" w:hAnsi="仿宋_GB2312" w:eastAsia="仿宋_GB2312" w:cs="仿宋_GB2312"/>
          <w:sz w:val="32"/>
          <w:szCs w:val="32"/>
          <w:highlight w:val="none"/>
          <w:lang w:eastAsia="zh-CN"/>
        </w:rPr>
        <w:t>第二届山东文化惠民消费季实施方案</w:t>
      </w:r>
      <w:r>
        <w:rPr>
          <w:rFonts w:hint="eastAsia" w:ascii="仿宋_GB2312" w:hAnsi="仿宋_GB2312" w:eastAsia="仿宋_GB2312" w:cs="仿宋_GB2312"/>
          <w:sz w:val="32"/>
          <w:szCs w:val="32"/>
          <w:highlight w:val="none"/>
        </w:rPr>
        <w:t>》《“十三五”时期山东省文化艺术科学重点学科建设管理办法》《山东省“非遗助力脱贫、推动乡村振兴”工程实施方案》</w:t>
      </w:r>
      <w:r>
        <w:rPr>
          <w:rFonts w:hint="eastAsia" w:ascii="仿宋_GB2312" w:hAnsi="仿宋_GB2312" w:eastAsia="仿宋_GB2312" w:cs="仿宋_GB2312"/>
          <w:sz w:val="32"/>
          <w:szCs w:val="32"/>
        </w:rPr>
        <w:t>等多项涉及面广、具有重要指导意义的文化法规政策实施，我</w:t>
      </w:r>
      <w:r>
        <w:rPr>
          <w:rFonts w:hint="eastAsia" w:ascii="仿宋_GB2312" w:hAnsi="仿宋_GB2312" w:eastAsia="仿宋_GB2312" w:cs="仿宋_GB2312"/>
          <w:sz w:val="32"/>
          <w:szCs w:val="32"/>
          <w:lang w:eastAsia="zh-CN"/>
        </w:rPr>
        <w:t>厅</w:t>
      </w:r>
      <w:r>
        <w:rPr>
          <w:rFonts w:hint="eastAsia" w:ascii="仿宋_GB2312" w:hAnsi="仿宋_GB2312" w:eastAsia="仿宋_GB2312" w:cs="仿宋_GB2312"/>
          <w:sz w:val="32"/>
          <w:szCs w:val="32"/>
        </w:rPr>
        <w:t>结合社会关注点，同步制定解读方案，召开新闻发布会，协调</w:t>
      </w:r>
      <w:r>
        <w:rPr>
          <w:rFonts w:hint="eastAsia" w:ascii="仿宋_GB2312" w:hAnsi="仿宋_GB2312" w:eastAsia="仿宋_GB2312" w:cs="仿宋_GB2312"/>
          <w:sz w:val="32"/>
          <w:szCs w:val="32"/>
          <w:lang w:eastAsia="zh-CN"/>
        </w:rPr>
        <w:t>厅机关相关</w:t>
      </w:r>
      <w:r>
        <w:rPr>
          <w:rFonts w:hint="eastAsia" w:ascii="仿宋_GB2312" w:hAnsi="仿宋_GB2312" w:eastAsia="仿宋_GB2312" w:cs="仿宋_GB2312"/>
          <w:sz w:val="32"/>
          <w:szCs w:val="32"/>
        </w:rPr>
        <w:t>负责同志、相关</w:t>
      </w:r>
      <w:r>
        <w:rPr>
          <w:rFonts w:hint="eastAsia" w:ascii="仿宋_GB2312" w:hAnsi="仿宋_GB2312" w:eastAsia="仿宋_GB2312" w:cs="仿宋_GB2312"/>
          <w:sz w:val="32"/>
          <w:szCs w:val="32"/>
          <w:lang w:eastAsia="zh-CN"/>
        </w:rPr>
        <w:t>处室</w:t>
      </w:r>
      <w:r>
        <w:rPr>
          <w:rFonts w:hint="eastAsia" w:ascii="仿宋_GB2312" w:hAnsi="仿宋_GB2312" w:eastAsia="仿宋_GB2312" w:cs="仿宋_GB2312"/>
          <w:sz w:val="32"/>
          <w:szCs w:val="32"/>
        </w:rPr>
        <w:t>负责同志接受媒体采访，推出</w:t>
      </w:r>
      <w:r>
        <w:rPr>
          <w:rFonts w:hint="eastAsia" w:ascii="仿宋_GB2312" w:hAnsi="仿宋_GB2312" w:eastAsia="仿宋_GB2312" w:cs="仿宋_GB2312"/>
          <w:sz w:val="32"/>
          <w:szCs w:val="32"/>
          <w:lang w:eastAsia="zh-CN"/>
        </w:rPr>
        <w:t>媒体</w:t>
      </w:r>
      <w:r>
        <w:rPr>
          <w:rFonts w:hint="eastAsia" w:ascii="仿宋_GB2312" w:hAnsi="仿宋_GB2312" w:eastAsia="仿宋_GB2312" w:cs="仿宋_GB2312"/>
          <w:sz w:val="32"/>
          <w:szCs w:val="32"/>
        </w:rPr>
        <w:t>解读文章，介绍分析政策出台背景、主要内容和社会影响。</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drawing>
          <wp:anchor distT="0" distB="0" distL="114935" distR="114935" simplePos="0" relativeHeight="251675648" behindDoc="0" locked="0" layoutInCell="1" allowOverlap="1">
            <wp:simplePos x="0" y="0"/>
            <wp:positionH relativeFrom="column">
              <wp:posOffset>-47625</wp:posOffset>
            </wp:positionH>
            <wp:positionV relativeFrom="paragraph">
              <wp:posOffset>323850</wp:posOffset>
            </wp:positionV>
            <wp:extent cx="5274310" cy="3154680"/>
            <wp:effectExtent l="0" t="0" r="2540" b="7620"/>
            <wp:wrapTopAndBottom/>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6"/>
                    <a:stretch>
                      <a:fillRect/>
                    </a:stretch>
                  </pic:blipFill>
                  <pic:spPr>
                    <a:xfrm>
                      <a:off x="0" y="0"/>
                      <a:ext cx="5274310" cy="3154680"/>
                    </a:xfrm>
                    <a:prstGeom prst="rect">
                      <a:avLst/>
                    </a:prstGeom>
                    <a:noFill/>
                    <a:ln w="9525">
                      <a:noFill/>
                    </a:ln>
                  </pic:spPr>
                </pic:pic>
              </a:graphicData>
            </a:graphic>
          </wp:anchor>
        </w:drawing>
      </w:r>
      <w:r>
        <w:rPr>
          <w:rFonts w:hint="eastAsia" w:ascii="仿宋_GB2312" w:hAnsi="仿宋_GB2312" w:eastAsia="仿宋_GB2312" w:cs="仿宋_GB2312"/>
          <w:sz w:val="32"/>
          <w:szCs w:val="32"/>
        </w:rPr>
        <w:t>　</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935" distR="114935" simplePos="0" relativeHeight="251683840" behindDoc="0" locked="0" layoutInCell="1" allowOverlap="1">
            <wp:simplePos x="0" y="0"/>
            <wp:positionH relativeFrom="column">
              <wp:posOffset>128270</wp:posOffset>
            </wp:positionH>
            <wp:positionV relativeFrom="paragraph">
              <wp:posOffset>110490</wp:posOffset>
            </wp:positionV>
            <wp:extent cx="4699000" cy="4230370"/>
            <wp:effectExtent l="0" t="0" r="6350" b="17780"/>
            <wp:wrapTopAndBottom/>
            <wp:docPr id="8" name="图片 8" descr="“第二届山东文化惠民消费季”新闻发布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二届山东文化惠民消费季”新闻发布会2"/>
                    <pic:cNvPicPr>
                      <a:picLocks noChangeAspect="1"/>
                    </pic:cNvPicPr>
                  </pic:nvPicPr>
                  <pic:blipFill>
                    <a:blip r:embed="rId7"/>
                    <a:srcRect l="6232" r="12048"/>
                    <a:stretch>
                      <a:fillRect/>
                    </a:stretch>
                  </pic:blipFill>
                  <pic:spPr>
                    <a:xfrm>
                      <a:off x="0" y="0"/>
                      <a:ext cx="4699000" cy="423037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b/>
          <w:bCs/>
          <w:sz w:val="32"/>
          <w:szCs w:val="32"/>
        </w:rPr>
        <w:t>(四)加强社会关切回应。</w:t>
      </w:r>
      <w:r>
        <w:rPr>
          <w:rFonts w:hint="eastAsia" w:ascii="仿宋_GB2312" w:hAnsi="仿宋_GB2312" w:eastAsia="仿宋_GB2312" w:cs="仿宋_GB2312"/>
          <w:sz w:val="32"/>
          <w:szCs w:val="32"/>
          <w:highlight w:val="none"/>
        </w:rPr>
        <w:t>通过</w:t>
      </w:r>
      <w:r>
        <w:rPr>
          <w:rFonts w:hint="eastAsia" w:ascii="仿宋_GB2312" w:hAnsi="仿宋_GB2312" w:eastAsia="仿宋_GB2312" w:cs="仿宋_GB2312"/>
          <w:sz w:val="32"/>
          <w:szCs w:val="32"/>
          <w:highlight w:val="none"/>
          <w:lang w:eastAsia="zh-CN"/>
        </w:rPr>
        <w:t>新闻</w:t>
      </w:r>
      <w:r>
        <w:rPr>
          <w:rFonts w:hint="eastAsia" w:ascii="仿宋_GB2312" w:hAnsi="仿宋_GB2312" w:eastAsia="仿宋_GB2312" w:cs="仿宋_GB2312"/>
          <w:sz w:val="32"/>
          <w:szCs w:val="32"/>
          <w:highlight w:val="none"/>
        </w:rPr>
        <w:t>发布会、专题发布会、吹风会</w:t>
      </w:r>
      <w:r>
        <w:rPr>
          <w:rFonts w:hint="eastAsia" w:ascii="仿宋_GB2312" w:hAnsi="仿宋_GB2312" w:eastAsia="仿宋_GB2312" w:cs="仿宋_GB2312"/>
          <w:sz w:val="32"/>
          <w:szCs w:val="32"/>
          <w:highlight w:val="none"/>
          <w:lang w:eastAsia="zh-CN"/>
        </w:rPr>
        <w:t>、媒体见面会、在线访谈、</w:t>
      </w:r>
      <w:r>
        <w:rPr>
          <w:rFonts w:hint="eastAsia" w:ascii="仿宋_GB2312" w:hAnsi="仿宋_GB2312" w:eastAsia="仿宋_GB2312" w:cs="仿宋_GB2312"/>
          <w:sz w:val="32"/>
          <w:szCs w:val="32"/>
          <w:highlight w:val="none"/>
        </w:rPr>
        <w:t>组织媒体集中采访等形式，多渠道、多平台宣传介绍</w:t>
      </w:r>
      <w:r>
        <w:rPr>
          <w:rFonts w:hint="eastAsia" w:ascii="仿宋_GB2312" w:hAnsi="仿宋_GB2312" w:eastAsia="仿宋_GB2312" w:cs="仿宋_GB2312"/>
          <w:sz w:val="32"/>
          <w:szCs w:val="32"/>
          <w:highlight w:val="none"/>
          <w:lang w:eastAsia="zh-CN"/>
        </w:rPr>
        <w:t>第二届山东文化惠民消费季</w:t>
      </w:r>
      <w:r>
        <w:rPr>
          <w:rFonts w:hint="eastAsia" w:ascii="仿宋_GB2312" w:hAnsi="仿宋_GB2312" w:eastAsia="仿宋_GB2312" w:cs="仿宋_GB2312"/>
          <w:sz w:val="32"/>
          <w:szCs w:val="32"/>
          <w:highlight w:val="none"/>
        </w:rPr>
        <w:t>、第十一届</w:t>
      </w:r>
      <w:r>
        <w:rPr>
          <w:rFonts w:hint="eastAsia" w:ascii="仿宋_GB2312" w:hAnsi="仿宋_GB2312" w:eastAsia="仿宋_GB2312" w:cs="仿宋_GB2312"/>
          <w:sz w:val="32"/>
          <w:szCs w:val="32"/>
          <w:highlight w:val="none"/>
          <w:lang w:eastAsia="zh-CN"/>
        </w:rPr>
        <w:t>山东文化</w:t>
      </w:r>
      <w:r>
        <w:rPr>
          <w:rFonts w:hint="eastAsia" w:ascii="仿宋_GB2312" w:hAnsi="仿宋_GB2312" w:eastAsia="仿宋_GB2312" w:cs="仿宋_GB2312"/>
          <w:sz w:val="32"/>
          <w:szCs w:val="32"/>
          <w:highlight w:val="none"/>
        </w:rPr>
        <w:t>艺术节、</w:t>
      </w:r>
      <w:r>
        <w:rPr>
          <w:rFonts w:hint="eastAsia" w:ascii="仿宋_GB2312" w:hAnsi="仿宋_GB2312" w:eastAsia="仿宋_GB2312" w:cs="仿宋_GB2312"/>
          <w:sz w:val="32"/>
          <w:szCs w:val="32"/>
          <w:highlight w:val="none"/>
          <w:lang w:eastAsia="zh-CN"/>
        </w:rPr>
        <w:t>山东省非物质文化遗产月、文化扶贫助力乡村振兴</w:t>
      </w:r>
      <w:r>
        <w:rPr>
          <w:rFonts w:hint="eastAsia" w:ascii="仿宋_GB2312" w:hAnsi="仿宋_GB2312" w:eastAsia="仿宋_GB2312" w:cs="仿宋_GB2312"/>
          <w:sz w:val="32"/>
          <w:szCs w:val="32"/>
          <w:highlight w:val="none"/>
        </w:rPr>
        <w:t>等社会关注度较高的文化工作进展情况。</w:t>
      </w:r>
      <w:r>
        <w:rPr>
          <w:rFonts w:hint="eastAsia" w:ascii="仿宋_GB2312" w:hAnsi="仿宋_GB2312" w:eastAsia="仿宋_GB2312" w:cs="仿宋_GB2312"/>
          <w:sz w:val="32"/>
          <w:szCs w:val="32"/>
        </w:rPr>
        <w:t>加强舆情收集，了解社会公众对文化建设的意见建议，及时予以回应。</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drawing>
          <wp:anchor distT="0" distB="0" distL="114935" distR="114935" simplePos="0" relativeHeight="251673600" behindDoc="0" locked="0" layoutInCell="1" allowOverlap="1">
            <wp:simplePos x="0" y="0"/>
            <wp:positionH relativeFrom="column">
              <wp:posOffset>-907415</wp:posOffset>
            </wp:positionH>
            <wp:positionV relativeFrom="paragraph">
              <wp:posOffset>224155</wp:posOffset>
            </wp:positionV>
            <wp:extent cx="6566535" cy="5117465"/>
            <wp:effectExtent l="0" t="0" r="5715" b="6985"/>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8"/>
                    <a:stretch>
                      <a:fillRect/>
                    </a:stretch>
                  </pic:blipFill>
                  <pic:spPr>
                    <a:xfrm>
                      <a:off x="0" y="0"/>
                      <a:ext cx="6566535" cy="511746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4785" cy="3425190"/>
            <wp:effectExtent l="0" t="0" r="12065" b="3810"/>
            <wp:docPr id="15" name="图片 15" descr="2018090406265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80904062654217"/>
                    <pic:cNvPicPr>
                      <a:picLocks noChangeAspect="1"/>
                    </pic:cNvPicPr>
                  </pic:nvPicPr>
                  <pic:blipFill>
                    <a:blip r:embed="rId9"/>
                    <a:stretch>
                      <a:fillRect/>
                    </a:stretch>
                  </pic:blipFill>
                  <pic:spPr>
                    <a:xfrm>
                      <a:off x="0" y="0"/>
                      <a:ext cx="5264785" cy="3425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935" distR="114935" simplePos="0" relativeHeight="251664384" behindDoc="0" locked="0" layoutInCell="1" allowOverlap="1">
            <wp:simplePos x="0" y="0"/>
            <wp:positionH relativeFrom="column">
              <wp:posOffset>563245</wp:posOffset>
            </wp:positionH>
            <wp:positionV relativeFrom="paragraph">
              <wp:posOffset>5715</wp:posOffset>
            </wp:positionV>
            <wp:extent cx="3940175" cy="3716655"/>
            <wp:effectExtent l="0" t="0" r="3175" b="17145"/>
            <wp:wrapTopAndBottom/>
            <wp:docPr id="7" name="图片 7" descr="2018年山东省非物质文化遗产月暨运河沿线城市非遗展演系列活动新闻发布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8年山东省非物质文化遗产月暨运河沿线城市非遗展演系列活动新闻发布会3"/>
                    <pic:cNvPicPr>
                      <a:picLocks noChangeAspect="1"/>
                    </pic:cNvPicPr>
                  </pic:nvPicPr>
                  <pic:blipFill>
                    <a:blip r:embed="rId10"/>
                    <a:stretch>
                      <a:fillRect/>
                    </a:stretch>
                  </pic:blipFill>
                  <pic:spPr>
                    <a:xfrm>
                      <a:off x="0" y="0"/>
                      <a:ext cx="3940175" cy="3716655"/>
                    </a:xfrm>
                    <a:prstGeom prst="rect">
                      <a:avLst/>
                    </a:prstGeom>
                  </pic:spPr>
                </pic:pic>
              </a:graphicData>
            </a:graphic>
          </wp:anchor>
        </w:drawing>
      </w:r>
      <w:r>
        <w:rPr>
          <w:rFonts w:hint="eastAsia" w:ascii="仿宋_GB2312" w:hAnsi="仿宋_GB2312" w:eastAsia="仿宋_GB2312" w:cs="仿宋_GB2312"/>
          <w:sz w:val="32"/>
          <w:szCs w:val="32"/>
          <w:lang w:eastAsia="zh-CN"/>
        </w:rPr>
        <w:t>　　</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lang w:eastAsia="zh-CN"/>
        </w:rPr>
        <w:t>　　</w:t>
      </w:r>
      <w:r>
        <w:rPr>
          <w:rFonts w:hint="eastAsia" w:ascii="仿宋_GB2312" w:hAnsi="仿宋_GB2312" w:eastAsia="仿宋_GB2312" w:cs="仿宋_GB2312"/>
          <w:b/>
          <w:bCs/>
          <w:sz w:val="32"/>
          <w:szCs w:val="32"/>
        </w:rPr>
        <w:t>(五)加强在线政务平台建设。</w:t>
      </w:r>
      <w:r>
        <w:rPr>
          <w:rFonts w:hint="eastAsia" w:ascii="仿宋_GB2312" w:hAnsi="仿宋_GB2312" w:eastAsia="仿宋_GB2312" w:cs="仿宋_GB2312"/>
          <w:sz w:val="32"/>
          <w:szCs w:val="32"/>
        </w:rPr>
        <w:t>进一步细化规范办事指南要求，详细列明依据条件、流程时限、注意事项、联系方式等要素，更新和完善办事指南</w:t>
      </w:r>
      <w:r>
        <w:rPr>
          <w:rFonts w:hint="eastAsia" w:ascii="仿宋_GB2312" w:hAnsi="仿宋_GB2312" w:eastAsia="仿宋_GB2312" w:cs="仿宋_GB2312"/>
          <w:sz w:val="32"/>
          <w:szCs w:val="32"/>
          <w:highlight w:val="none"/>
          <w:lang w:val="en-US" w:eastAsia="zh-CN"/>
        </w:rPr>
        <w:t>11</w:t>
      </w:r>
      <w:r>
        <w:rPr>
          <w:rFonts w:hint="eastAsia" w:ascii="仿宋_GB2312" w:hAnsi="仿宋_GB2312" w:eastAsia="仿宋_GB2312" w:cs="仿宋_GB2312"/>
          <w:sz w:val="32"/>
          <w:szCs w:val="32"/>
        </w:rPr>
        <w:t>项，确保公众能够“找得到、问得清”。</w:t>
      </w:r>
      <w:r>
        <w:rPr>
          <w:rFonts w:hint="eastAsia" w:ascii="仿宋_GB2312" w:hAnsi="仿宋_GB2312" w:eastAsia="仿宋_GB2312" w:cs="仿宋_GB2312"/>
          <w:sz w:val="32"/>
          <w:szCs w:val="32"/>
          <w:highlight w:val="none"/>
        </w:rPr>
        <w:t>提高政府网站信息发布效能，加强动态要闻、政策解读等信息更新管理，</w:t>
      </w:r>
      <w:r>
        <w:rPr>
          <w:rFonts w:hint="eastAsia" w:ascii="仿宋_GB2312" w:hAnsi="仿宋_GB2312" w:eastAsia="仿宋_GB2312" w:cs="仿宋_GB2312"/>
          <w:sz w:val="32"/>
          <w:szCs w:val="32"/>
          <w:highlight w:val="none"/>
          <w:lang w:eastAsia="zh-CN"/>
        </w:rPr>
        <w:t>坚持对厅</w:t>
      </w:r>
      <w:r>
        <w:rPr>
          <w:rFonts w:hint="eastAsia" w:ascii="仿宋_GB2312" w:hAnsi="仿宋_GB2312" w:eastAsia="仿宋_GB2312" w:cs="仿宋_GB2312"/>
          <w:sz w:val="32"/>
          <w:szCs w:val="32"/>
          <w:highlight w:val="none"/>
        </w:rPr>
        <w:t>政府网站</w:t>
      </w:r>
      <w:r>
        <w:rPr>
          <w:rFonts w:hint="eastAsia" w:ascii="仿宋_GB2312" w:hAnsi="仿宋_GB2312" w:eastAsia="仿宋_GB2312" w:cs="仿宋_GB2312"/>
          <w:sz w:val="32"/>
          <w:szCs w:val="32"/>
          <w:highlight w:val="none"/>
          <w:lang w:eastAsia="zh-CN"/>
        </w:rPr>
        <w:t>进行</w:t>
      </w:r>
      <w:r>
        <w:rPr>
          <w:rFonts w:hint="eastAsia" w:ascii="仿宋_GB2312" w:hAnsi="仿宋_GB2312" w:eastAsia="仿宋_GB2312" w:cs="仿宋_GB2312"/>
          <w:sz w:val="32"/>
          <w:szCs w:val="32"/>
          <w:highlight w:val="none"/>
        </w:rPr>
        <w:t>季度抽查</w:t>
      </w:r>
      <w:r>
        <w:rPr>
          <w:rFonts w:hint="eastAsia" w:ascii="仿宋_GB2312" w:hAnsi="仿宋_GB2312" w:eastAsia="仿宋_GB2312" w:cs="仿宋_GB2312"/>
          <w:sz w:val="32"/>
          <w:szCs w:val="32"/>
          <w:highlight w:val="none"/>
          <w:lang w:eastAsia="zh-CN"/>
        </w:rPr>
        <w:t>，并对地市</w:t>
      </w:r>
      <w:r>
        <w:rPr>
          <w:rFonts w:hint="eastAsia" w:ascii="仿宋_GB2312" w:hAnsi="仿宋_GB2312" w:eastAsia="仿宋_GB2312" w:cs="仿宋_GB2312"/>
          <w:sz w:val="32"/>
          <w:szCs w:val="32"/>
          <w:highlight w:val="none"/>
          <w:lang w:val="en-US" w:eastAsia="zh-CN"/>
        </w:rPr>
        <w:t>文广新局门户</w:t>
      </w:r>
      <w:r>
        <w:rPr>
          <w:rFonts w:hint="eastAsia" w:ascii="仿宋_GB2312" w:hAnsi="仿宋_GB2312" w:eastAsia="仿宋_GB2312" w:cs="仿宋_GB2312"/>
          <w:sz w:val="32"/>
          <w:szCs w:val="32"/>
          <w:highlight w:val="none"/>
        </w:rPr>
        <w:t>网站建设</w:t>
      </w:r>
      <w:r>
        <w:rPr>
          <w:rFonts w:hint="eastAsia" w:ascii="仿宋_GB2312" w:hAnsi="仿宋_GB2312" w:eastAsia="仿宋_GB2312" w:cs="仿宋_GB2312"/>
          <w:sz w:val="32"/>
          <w:szCs w:val="32"/>
          <w:highlight w:val="none"/>
          <w:lang w:eastAsia="zh-CN"/>
        </w:rPr>
        <w:t>进行</w:t>
      </w:r>
      <w:r>
        <w:rPr>
          <w:rFonts w:hint="eastAsia" w:ascii="仿宋_GB2312" w:hAnsi="仿宋_GB2312" w:eastAsia="仿宋_GB2312" w:cs="仿宋_GB2312"/>
          <w:sz w:val="32"/>
          <w:szCs w:val="32"/>
          <w:highlight w:val="none"/>
        </w:rPr>
        <w:t>考核评估</w:t>
      </w:r>
      <w:r>
        <w:rPr>
          <w:rFonts w:hint="eastAsia" w:ascii="仿宋_GB2312" w:hAnsi="仿宋_GB2312" w:eastAsia="仿宋_GB2312" w:cs="仿宋_GB2312"/>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_GB2312" w:hAnsi="仿宋_GB2312" w:eastAsia="仿宋_GB2312" w:cs="仿宋_GB2312"/>
          <w:sz w:val="32"/>
          <w:szCs w:val="32"/>
          <w:highlight w:val="yellow"/>
          <w:lang w:eastAsia="zh-CN"/>
        </w:rPr>
      </w:pPr>
      <w:r>
        <w:rPr>
          <w:rFonts w:hint="eastAsia" w:ascii="仿宋_GB2312" w:hAnsi="仿宋_GB2312" w:eastAsia="仿宋_GB2312" w:cs="仿宋_GB2312"/>
          <w:sz w:val="32"/>
          <w:szCs w:val="32"/>
          <w:highlight w:val="none"/>
          <w:lang w:eastAsia="zh-CN"/>
        </w:rPr>
        <w:drawing>
          <wp:inline distT="0" distB="0" distL="114300" distR="114300">
            <wp:extent cx="5271135" cy="3321685"/>
            <wp:effectExtent l="0" t="0" r="5715" b="12065"/>
            <wp:docPr id="17" name="图片 17" descr="d6e36612afac6391029cf9a1a0d2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6e36612afac6391029cf9a1a0d2e75"/>
                    <pic:cNvPicPr>
                      <a:picLocks noChangeAspect="1"/>
                    </pic:cNvPicPr>
                  </pic:nvPicPr>
                  <pic:blipFill>
                    <a:blip r:embed="rId11"/>
                    <a:stretch>
                      <a:fillRect/>
                    </a:stretch>
                  </pic:blipFill>
                  <pic:spPr>
                    <a:xfrm>
                      <a:off x="0" y="0"/>
                      <a:ext cx="5271135" cy="3321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eastAsia="zh-CN"/>
        </w:rPr>
        <w:t>　　</w:t>
      </w:r>
      <w:r>
        <w:rPr>
          <w:rFonts w:hint="eastAsia" w:ascii="仿宋_GB2312" w:hAnsi="仿宋_GB2312" w:eastAsia="仿宋_GB2312" w:cs="仿宋_GB2312"/>
          <w:sz w:val="32"/>
          <w:szCs w:val="32"/>
          <w:highlight w:val="none"/>
        </w:rPr>
        <w:t>着力解决信息更新不够及时、互动回应不够主动、政务系统不够实用等问题。</w:t>
      </w:r>
      <w:r>
        <w:rPr>
          <w:rFonts w:hint="eastAsia" w:ascii="仿宋_GB2312" w:hAnsi="仿宋_GB2312" w:eastAsia="仿宋_GB2312" w:cs="仿宋_GB2312"/>
          <w:sz w:val="32"/>
          <w:szCs w:val="32"/>
        </w:rPr>
        <w:t>加强政务微博管理，提高信息发布频率，处理政府网站纠错平台公众留言</w:t>
      </w:r>
      <w:r>
        <w:rPr>
          <w:rFonts w:hint="eastAsia" w:ascii="仿宋_GB2312" w:hAnsi="仿宋_GB2312" w:eastAsia="仿宋_GB2312" w:cs="仿宋_GB2312"/>
          <w:sz w:val="32"/>
          <w:szCs w:val="32"/>
          <w:highlight w:val="none"/>
          <w:lang w:val="en-US" w:eastAsia="zh-CN"/>
        </w:rPr>
        <w:t>6</w:t>
      </w:r>
      <w:r>
        <w:rPr>
          <w:rFonts w:hint="eastAsia" w:ascii="仿宋_GB2312" w:hAnsi="仿宋_GB2312" w:eastAsia="仿宋_GB2312" w:cs="仿宋_GB2312"/>
          <w:sz w:val="32"/>
          <w:szCs w:val="32"/>
        </w:rPr>
        <w:t>项。</w:t>
      </w:r>
      <w:r>
        <w:rPr>
          <w:rFonts w:hint="eastAsia" w:ascii="仿宋_GB2312" w:hAnsi="仿宋_GB2312" w:eastAsia="仿宋_GB2312" w:cs="仿宋_GB2312"/>
          <w:sz w:val="32"/>
          <w:szCs w:val="32"/>
          <w:lang w:val="en-US" w:eastAsia="zh-CN"/>
        </w:rPr>
        <w:t>2018年</w:t>
      </w:r>
      <w:r>
        <w:rPr>
          <w:rFonts w:hint="eastAsia" w:ascii="仿宋_GB2312" w:hAnsi="仿宋_GB2312" w:eastAsia="仿宋_GB2312" w:cs="仿宋_GB2312"/>
          <w:sz w:val="32"/>
          <w:szCs w:val="32"/>
        </w:rPr>
        <w:t>共收到省级政务服务热线185件，所有来信按正式办文程序进行运转，做到了“件件有着落，事事有回音”，办结率100%，主要涉及基层公共文化服务、非物质文化遗产保护与传承、文化市场管理等方面的内容。</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二、政府信息主动公开情况</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(一)公开的内容</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1.机构职能信息。包括机构概况、领导介绍、内设机构和职责。</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2.政策法规信息。包括部门规章及规范性文件、文化行政执法项目设置及依据。</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3.行政审批信息。包括</w:t>
      </w:r>
      <w:r>
        <w:rPr>
          <w:rFonts w:hint="eastAsia" w:ascii="仿宋_GB2312" w:hAnsi="仿宋_GB2312" w:eastAsia="仿宋_GB2312" w:cs="仿宋_GB2312"/>
          <w:sz w:val="32"/>
          <w:szCs w:val="32"/>
          <w:lang w:eastAsia="zh-CN"/>
        </w:rPr>
        <w:t>原省文化</w:t>
      </w:r>
      <w:r>
        <w:rPr>
          <w:rFonts w:hint="eastAsia" w:ascii="仿宋_GB2312" w:hAnsi="仿宋_GB2312" w:eastAsia="仿宋_GB2312" w:cs="仿宋_GB2312"/>
          <w:sz w:val="32"/>
          <w:szCs w:val="32"/>
          <w:highlight w:val="none"/>
          <w:lang w:eastAsia="zh-CN"/>
        </w:rPr>
        <w:t>厅</w:t>
      </w:r>
      <w:r>
        <w:rPr>
          <w:rFonts w:hint="eastAsia" w:ascii="仿宋_GB2312" w:hAnsi="仿宋_GB2312" w:eastAsia="仿宋_GB2312" w:cs="仿宋_GB2312"/>
          <w:sz w:val="32"/>
          <w:szCs w:val="32"/>
        </w:rPr>
        <w:t>目前保留的行政许可事项名称及依据。</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4.人事信息。包括公务员考试录用以及其他人事人才工作信息。</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rPr>
        <w:t>　　5.财务信息。</w:t>
      </w:r>
      <w:r>
        <w:rPr>
          <w:rFonts w:hint="eastAsia" w:ascii="仿宋_GB2312" w:hAnsi="仿宋_GB2312" w:eastAsia="仿宋_GB2312" w:cs="仿宋_GB2312"/>
          <w:sz w:val="32"/>
          <w:szCs w:val="32"/>
          <w:highlight w:val="none"/>
        </w:rPr>
        <w:t>包括201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年预算和201</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年决算信息、</w:t>
      </w:r>
      <w:r>
        <w:rPr>
          <w:rFonts w:hint="eastAsia" w:ascii="仿宋_GB2312" w:hAnsi="仿宋_GB2312" w:eastAsia="仿宋_GB2312" w:cs="仿宋_GB2312"/>
          <w:sz w:val="32"/>
          <w:szCs w:val="32"/>
          <w:highlight w:val="none"/>
          <w:lang w:eastAsia="zh-CN"/>
        </w:rPr>
        <w:t>原省</w:t>
      </w:r>
      <w:r>
        <w:rPr>
          <w:rFonts w:hint="eastAsia" w:ascii="仿宋_GB2312" w:hAnsi="仿宋_GB2312" w:eastAsia="仿宋_GB2312" w:cs="仿宋_GB2312"/>
          <w:sz w:val="32"/>
          <w:szCs w:val="32"/>
          <w:highlight w:val="none"/>
        </w:rPr>
        <w:t>文化</w:t>
      </w:r>
      <w:r>
        <w:rPr>
          <w:rFonts w:hint="eastAsia" w:ascii="仿宋_GB2312" w:hAnsi="仿宋_GB2312" w:eastAsia="仿宋_GB2312" w:cs="仿宋_GB2312"/>
          <w:sz w:val="32"/>
          <w:szCs w:val="32"/>
          <w:highlight w:val="none"/>
          <w:lang w:eastAsia="zh-CN"/>
        </w:rPr>
        <w:t>厅</w:t>
      </w:r>
      <w:r>
        <w:rPr>
          <w:rFonts w:hint="eastAsia" w:ascii="仿宋_GB2312" w:hAnsi="仿宋_GB2312" w:eastAsia="仿宋_GB2312" w:cs="仿宋_GB2312"/>
          <w:sz w:val="32"/>
          <w:szCs w:val="32"/>
          <w:highlight w:val="none"/>
        </w:rPr>
        <w:t>“三公经费”信息。</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6.统计信息。包括《</w:t>
      </w:r>
      <w:r>
        <w:rPr>
          <w:rFonts w:hint="eastAsia" w:ascii="仿宋_GB2312" w:hAnsi="仿宋_GB2312" w:eastAsia="仿宋_GB2312" w:cs="仿宋_GB2312"/>
          <w:sz w:val="32"/>
          <w:szCs w:val="32"/>
          <w:highlight w:val="none"/>
          <w:lang w:eastAsia="zh-CN"/>
        </w:rPr>
        <w:t>山东省</w:t>
      </w:r>
      <w:r>
        <w:rPr>
          <w:rFonts w:hint="eastAsia" w:ascii="仿宋_GB2312" w:hAnsi="仿宋_GB2312" w:eastAsia="仿宋_GB2312" w:cs="仿宋_GB2312"/>
          <w:sz w:val="32"/>
          <w:szCs w:val="32"/>
          <w:highlight w:val="none"/>
        </w:rPr>
        <w:t>201</w:t>
      </w: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年文化发展</w:t>
      </w:r>
      <w:r>
        <w:rPr>
          <w:rFonts w:hint="eastAsia" w:ascii="仿宋_GB2312" w:hAnsi="仿宋_GB2312" w:eastAsia="仿宋_GB2312" w:cs="仿宋_GB2312"/>
          <w:sz w:val="32"/>
          <w:szCs w:val="32"/>
          <w:highlight w:val="none"/>
          <w:lang w:eastAsia="zh-CN"/>
        </w:rPr>
        <w:t>年鉴</w:t>
      </w:r>
      <w:r>
        <w:rPr>
          <w:rFonts w:hint="eastAsia" w:ascii="仿宋_GB2312" w:hAnsi="仿宋_GB2312" w:eastAsia="仿宋_GB2312" w:cs="仿宋_GB2312"/>
          <w:sz w:val="32"/>
          <w:szCs w:val="32"/>
        </w:rPr>
        <w:t>》等。</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drawing>
          <wp:anchor distT="0" distB="0" distL="114935" distR="114935" simplePos="0" relativeHeight="251658240" behindDoc="0" locked="0" layoutInCell="1" allowOverlap="1">
            <wp:simplePos x="0" y="0"/>
            <wp:positionH relativeFrom="column">
              <wp:posOffset>1193165</wp:posOffset>
            </wp:positionH>
            <wp:positionV relativeFrom="paragraph">
              <wp:posOffset>187960</wp:posOffset>
            </wp:positionV>
            <wp:extent cx="2971800" cy="3857625"/>
            <wp:effectExtent l="0" t="0" r="0"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971800" cy="3857625"/>
                    </a:xfrm>
                    <a:prstGeom prst="rect">
                      <a:avLst/>
                    </a:prstGeom>
                    <a:noFill/>
                    <a:ln w="9525">
                      <a:noFill/>
                    </a:ln>
                  </pic:spPr>
                </pic:pic>
              </a:graphicData>
            </a:graphic>
          </wp:anchor>
        </w:drawing>
      </w:r>
      <w:r>
        <w:rPr>
          <w:rFonts w:hint="eastAsia" w:ascii="仿宋_GB2312" w:hAnsi="仿宋_GB2312" w:eastAsia="仿宋_GB2312" w:cs="仿宋_GB2312"/>
          <w:sz w:val="32"/>
          <w:szCs w:val="32"/>
        </w:rPr>
        <w:t>　　7.文化业务信息。包括综合政务、文化艺术、文化科技、文化市场、文化产业、公共文化、非物质文化遗产、对外文化交流等方面公告通知、重要政策解读、重要项目进展情况、重点工作开展情况。</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lang w:val="en-US" w:eastAsia="zh-CN"/>
        </w:rPr>
        <w:t>2018年度</w:t>
      </w:r>
      <w:r>
        <w:rPr>
          <w:rFonts w:hint="eastAsia" w:ascii="仿宋_GB2312" w:hAnsi="仿宋_GB2312" w:eastAsia="仿宋_GB2312" w:cs="仿宋_GB2312"/>
          <w:sz w:val="32"/>
          <w:szCs w:val="32"/>
        </w:rPr>
        <w:t>全国人大代表建议、全国政协委员提案答复情况。2018年原</w:t>
      </w:r>
      <w:r>
        <w:rPr>
          <w:rFonts w:hint="eastAsia" w:ascii="仿宋_GB2312" w:hAnsi="仿宋_GB2312" w:eastAsia="仿宋_GB2312" w:cs="仿宋_GB2312"/>
          <w:sz w:val="32"/>
          <w:szCs w:val="32"/>
          <w:lang w:eastAsia="zh-CN"/>
        </w:rPr>
        <w:t>省</w:t>
      </w:r>
      <w:r>
        <w:rPr>
          <w:rFonts w:hint="eastAsia" w:ascii="仿宋_GB2312" w:hAnsi="仿宋_GB2312" w:eastAsia="仿宋_GB2312" w:cs="仿宋_GB2312"/>
          <w:sz w:val="32"/>
          <w:szCs w:val="32"/>
        </w:rPr>
        <w:t>文化厅收到人大建议政协提案70件，其中，需办理的人大代表建议27件、政协委员提案43件，另有参阅件4件；重点人大建议1件，重点政协提案2件</w:t>
      </w:r>
      <w:r>
        <w:rPr>
          <w:rFonts w:hint="eastAsia" w:ascii="仿宋_GB2312" w:hAnsi="仿宋_GB2312" w:eastAsia="仿宋_GB2312" w:cs="仿宋_GB2312"/>
          <w:sz w:val="32"/>
          <w:szCs w:val="32"/>
          <w:lang w:eastAsia="zh-CN"/>
        </w:rPr>
        <w:t>。从答复情况来看，</w:t>
      </w:r>
      <w:r>
        <w:rPr>
          <w:rFonts w:hint="eastAsia" w:ascii="仿宋_GB2312" w:hAnsi="仿宋_GB2312" w:eastAsia="仿宋_GB2312" w:cs="仿宋_GB2312"/>
          <w:sz w:val="32"/>
          <w:szCs w:val="32"/>
        </w:rPr>
        <w:t>代表委员所提问题已经解决或已有规定的（A类）8件，正在解决或列入规划逐步解决的（B类）46件，暂时难以解决留作参考的（C类）16件</w:t>
      </w:r>
      <w:r>
        <w:rPr>
          <w:rFonts w:hint="eastAsia" w:ascii="仿宋_GB2312" w:hAnsi="仿宋_GB2312" w:eastAsia="仿宋_GB2312" w:cs="仿宋_GB2312"/>
          <w:sz w:val="32"/>
          <w:szCs w:val="32"/>
          <w:lang w:eastAsia="zh-CN"/>
        </w:rPr>
        <w:t>，均按时答复并在厅网站设立专栏公开。</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仿宋_GB2312" w:hAnsi="仿宋_GB2312" w:eastAsia="仿宋_GB2312" w:cs="仿宋_GB2312"/>
          <w:b/>
          <w:bCs/>
          <w:sz w:val="32"/>
          <w:szCs w:val="32"/>
        </w:rPr>
        <w:t>(二)公开的形式</w:t>
      </w:r>
    </w:p>
    <w:p>
      <w:pPr>
        <w:keepNext w:val="0"/>
        <w:keepLines w:val="0"/>
        <w:pageBreakBefore w:val="0"/>
        <w:widowControl w:val="0"/>
        <w:kinsoku/>
        <w:wordWrap/>
        <w:overflowPunct/>
        <w:topLinePunct w:val="0"/>
        <w:autoSpaceDE/>
        <w:autoSpaceDN/>
        <w:bidi w:val="0"/>
        <w:adjustRightInd/>
        <w:snapToGrid/>
        <w:spacing w:line="580" w:lineRule="exact"/>
        <w:ind w:firstLine="652"/>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highlight w:val="none"/>
          <w:lang w:eastAsia="zh-CN"/>
        </w:rPr>
        <w:drawing>
          <wp:anchor distT="0" distB="0" distL="114300" distR="114300" simplePos="0" relativeHeight="251684864" behindDoc="0" locked="0" layoutInCell="1" allowOverlap="1">
            <wp:simplePos x="0" y="0"/>
            <wp:positionH relativeFrom="column">
              <wp:posOffset>-127000</wp:posOffset>
            </wp:positionH>
            <wp:positionV relativeFrom="paragraph">
              <wp:posOffset>1932940</wp:posOffset>
            </wp:positionV>
            <wp:extent cx="5334635" cy="2932430"/>
            <wp:effectExtent l="0" t="0" r="18415" b="1270"/>
            <wp:wrapTopAndBottom/>
            <wp:docPr id="16" name="图片 16" descr="微信图片_2019012514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125142741"/>
                    <pic:cNvPicPr>
                      <a:picLocks noChangeAspect="1"/>
                    </pic:cNvPicPr>
                  </pic:nvPicPr>
                  <pic:blipFill>
                    <a:blip r:embed="rId13"/>
                    <a:stretch>
                      <a:fillRect/>
                    </a:stretch>
                  </pic:blipFill>
                  <pic:spPr>
                    <a:xfrm>
                      <a:off x="0" y="0"/>
                      <a:ext cx="5334635" cy="2932430"/>
                    </a:xfrm>
                    <a:prstGeom prst="rect">
                      <a:avLst/>
                    </a:prstGeom>
                  </pic:spPr>
                </pic:pic>
              </a:graphicData>
            </a:graphic>
          </wp:anchor>
        </w:drawing>
      </w:r>
      <w:r>
        <w:rPr>
          <w:rFonts w:hint="eastAsia" w:ascii="仿宋_GB2312" w:hAnsi="仿宋_GB2312" w:eastAsia="仿宋_GB2312" w:cs="仿宋_GB2312"/>
          <w:sz w:val="32"/>
          <w:szCs w:val="32"/>
        </w:rPr>
        <w:t>1.新闻发布和媒体采访。201</w:t>
      </w:r>
      <w:r>
        <w:rPr>
          <w:rFonts w:hint="eastAsia" w:ascii="仿宋_GB2312" w:hAnsi="仿宋_GB2312" w:eastAsia="仿宋_GB2312" w:cs="仿宋_GB2312"/>
          <w:sz w:val="32"/>
          <w:szCs w:val="32"/>
          <w:lang w:val="en-US" w:eastAsia="zh-CN"/>
        </w:rPr>
        <w:t xml:space="preserve">8 </w:t>
      </w:r>
      <w:r>
        <w:rPr>
          <w:rFonts w:hint="eastAsia" w:ascii="仿宋_GB2312" w:hAnsi="仿宋_GB2312" w:eastAsia="仿宋_GB2312" w:cs="仿宋_GB2312"/>
          <w:sz w:val="32"/>
          <w:szCs w:val="32"/>
        </w:rPr>
        <w:t>年，共举办新闻发布会</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场</w:t>
      </w:r>
      <w:r>
        <w:rPr>
          <w:rFonts w:hint="eastAsia" w:ascii="仿宋_GB2312" w:hAnsi="仿宋_GB2312" w:eastAsia="仿宋_GB2312" w:cs="仿宋_GB2312"/>
          <w:sz w:val="32"/>
          <w:szCs w:val="32"/>
          <w:lang w:eastAsia="zh-CN"/>
        </w:rPr>
        <w:t>，其中，通过省政府新闻办发布</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次，自行召开专题发布和通报会</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场</w:t>
      </w:r>
      <w:r>
        <w:rPr>
          <w:rFonts w:hint="eastAsia" w:ascii="仿宋_GB2312" w:hAnsi="仿宋_GB2312" w:eastAsia="仿宋_GB2312" w:cs="仿宋_GB2312"/>
          <w:sz w:val="32"/>
          <w:szCs w:val="32"/>
        </w:rPr>
        <w:t>;举办其他类型发布活动(吹风会、集体采访、通气会)等</w:t>
      </w:r>
      <w:r>
        <w:rPr>
          <w:rFonts w:hint="eastAsia" w:ascii="仿宋_GB2312" w:hAnsi="仿宋_GB2312" w:eastAsia="仿宋_GB2312" w:cs="仿宋_GB2312"/>
          <w:sz w:val="32"/>
          <w:szCs w:val="32"/>
          <w:highlight w:val="none"/>
          <w:lang w:eastAsia="zh-CN"/>
        </w:rPr>
        <w:t>约</w:t>
      </w:r>
      <w:r>
        <w:rPr>
          <w:rFonts w:hint="eastAsia" w:ascii="仿宋_GB2312" w:hAnsi="仿宋_GB2312" w:eastAsia="仿宋_GB2312" w:cs="仿宋_GB2312"/>
          <w:sz w:val="32"/>
          <w:szCs w:val="32"/>
          <w:highlight w:val="none"/>
          <w:lang w:val="en-US" w:eastAsia="zh-CN"/>
        </w:rPr>
        <w:t>26</w:t>
      </w:r>
      <w:r>
        <w:rPr>
          <w:rFonts w:hint="eastAsia" w:ascii="仿宋_GB2312" w:hAnsi="仿宋_GB2312" w:eastAsia="仿宋_GB2312" w:cs="仿宋_GB2312"/>
          <w:sz w:val="32"/>
          <w:szCs w:val="32"/>
        </w:rPr>
        <w:t>次;</w:t>
      </w:r>
      <w:r>
        <w:rPr>
          <w:rFonts w:hint="eastAsia" w:ascii="仿宋_GB2312" w:hAnsi="仿宋_GB2312" w:eastAsia="仿宋_GB2312" w:cs="仿宋_GB2312"/>
          <w:sz w:val="32"/>
          <w:szCs w:val="32"/>
          <w:lang w:eastAsia="zh-CN"/>
        </w:rPr>
        <w:t>厅机关相关</w:t>
      </w:r>
      <w:r>
        <w:rPr>
          <w:rFonts w:hint="eastAsia" w:ascii="仿宋_GB2312" w:hAnsi="仿宋_GB2312" w:eastAsia="仿宋_GB2312" w:cs="仿宋_GB2312"/>
          <w:sz w:val="32"/>
          <w:szCs w:val="32"/>
        </w:rPr>
        <w:t>负责同志参加新闻发布会或接受媒体采访</w:t>
      </w:r>
      <w:r>
        <w:rPr>
          <w:rFonts w:hint="eastAsia" w:ascii="仿宋_GB2312" w:hAnsi="仿宋_GB2312" w:eastAsia="仿宋_GB2312" w:cs="仿宋_GB2312"/>
          <w:sz w:val="32"/>
          <w:szCs w:val="32"/>
          <w:lang w:eastAsia="zh-CN"/>
        </w:rPr>
        <w:t>、约稿约</w:t>
      </w:r>
      <w:r>
        <w:rPr>
          <w:rFonts w:hint="eastAsia" w:ascii="仿宋_GB2312" w:hAnsi="仿宋_GB2312" w:eastAsia="仿宋_GB2312" w:cs="仿宋_GB2312"/>
          <w:sz w:val="32"/>
          <w:szCs w:val="32"/>
          <w:lang w:val="en-US" w:eastAsia="zh-CN"/>
        </w:rPr>
        <w:t>60</w:t>
      </w:r>
      <w:r>
        <w:rPr>
          <w:rFonts w:hint="eastAsia" w:ascii="仿宋_GB2312" w:hAnsi="仿宋_GB2312" w:eastAsia="仿宋_GB2312" w:cs="仿宋_GB2312"/>
          <w:sz w:val="32"/>
          <w:szCs w:val="32"/>
        </w:rPr>
        <w:t>次</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yellow"/>
          <w:lang w:eastAsia="zh-CN"/>
        </w:rPr>
        <w:drawing>
          <wp:anchor distT="0" distB="0" distL="114935" distR="114935" simplePos="0" relativeHeight="251672576" behindDoc="0" locked="0" layoutInCell="1" allowOverlap="1">
            <wp:simplePos x="0" y="0"/>
            <wp:positionH relativeFrom="column">
              <wp:posOffset>80010</wp:posOffset>
            </wp:positionH>
            <wp:positionV relativeFrom="paragraph">
              <wp:posOffset>85725</wp:posOffset>
            </wp:positionV>
            <wp:extent cx="4686935" cy="4358640"/>
            <wp:effectExtent l="0" t="0" r="18415" b="3810"/>
            <wp:wrapTopAndBottom/>
            <wp:docPr id="6" name="图片 6" descr="第五届中国非物质文化遗产博览会新闻发布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五届中国非物质文化遗产博览会新闻发布会1"/>
                    <pic:cNvPicPr>
                      <a:picLocks noChangeAspect="1"/>
                    </pic:cNvPicPr>
                  </pic:nvPicPr>
                  <pic:blipFill>
                    <a:blip r:embed="rId14"/>
                    <a:stretch>
                      <a:fillRect/>
                    </a:stretch>
                  </pic:blipFill>
                  <pic:spPr>
                    <a:xfrm>
                      <a:off x="0" y="0"/>
                      <a:ext cx="4686935" cy="435864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val="en-US" w:eastAsia="zh-CN"/>
        </w:rPr>
        <w:t>　　2.</w:t>
      </w:r>
      <w:r>
        <w:rPr>
          <w:rFonts w:hint="eastAsia" w:ascii="仿宋_GB2312" w:hAnsi="仿宋_GB2312" w:eastAsia="仿宋_GB2312" w:cs="仿宋_GB2312"/>
          <w:sz w:val="32"/>
          <w:szCs w:val="32"/>
        </w:rPr>
        <w:t>政府网站。201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厅</w:t>
      </w:r>
      <w:r>
        <w:rPr>
          <w:rFonts w:hint="eastAsia" w:ascii="仿宋_GB2312" w:hAnsi="仿宋_GB2312" w:eastAsia="仿宋_GB2312" w:cs="仿宋_GB2312"/>
          <w:sz w:val="32"/>
          <w:szCs w:val="32"/>
          <w:highlight w:val="none"/>
        </w:rPr>
        <w:t>网站共发布各类信息</w:t>
      </w:r>
      <w:r>
        <w:rPr>
          <w:rFonts w:hint="eastAsia" w:ascii="仿宋_GB2312" w:hAnsi="仿宋_GB2312" w:eastAsia="仿宋_GB2312" w:cs="仿宋_GB2312"/>
          <w:sz w:val="32"/>
          <w:szCs w:val="32"/>
          <w:highlight w:val="none"/>
          <w:lang w:val="en-US" w:eastAsia="zh-CN"/>
        </w:rPr>
        <w:t>6921</w:t>
      </w:r>
      <w:r>
        <w:rPr>
          <w:rFonts w:hint="eastAsia" w:ascii="仿宋_GB2312" w:hAnsi="仿宋_GB2312" w:eastAsia="仿宋_GB2312" w:cs="仿宋_GB2312"/>
          <w:sz w:val="32"/>
          <w:szCs w:val="32"/>
          <w:highlight w:val="none"/>
        </w:rPr>
        <w:t>条，开展</w:t>
      </w:r>
      <w:r>
        <w:rPr>
          <w:rFonts w:hint="eastAsia" w:ascii="仿宋_GB2312" w:hAnsi="仿宋_GB2312" w:eastAsia="仿宋_GB2312" w:cs="仿宋_GB2312"/>
          <w:sz w:val="32"/>
          <w:szCs w:val="32"/>
          <w:highlight w:val="none"/>
          <w:lang w:eastAsia="zh-CN"/>
        </w:rPr>
        <w:t>网络</w:t>
      </w:r>
      <w:r>
        <w:rPr>
          <w:rFonts w:hint="eastAsia" w:ascii="仿宋_GB2312" w:hAnsi="仿宋_GB2312" w:eastAsia="仿宋_GB2312" w:cs="仿宋_GB2312"/>
          <w:sz w:val="32"/>
          <w:szCs w:val="32"/>
          <w:highlight w:val="none"/>
        </w:rPr>
        <w:t>直播</w:t>
      </w:r>
      <w:r>
        <w:rPr>
          <w:rFonts w:hint="eastAsia" w:ascii="仿宋_GB2312" w:hAnsi="仿宋_GB2312" w:eastAsia="仿宋_GB2312" w:cs="仿宋_GB2312"/>
          <w:sz w:val="32"/>
          <w:szCs w:val="32"/>
          <w:highlight w:val="none"/>
          <w:lang w:val="en-US" w:eastAsia="zh-CN"/>
        </w:rPr>
        <w:t>40</w:t>
      </w:r>
      <w:r>
        <w:rPr>
          <w:rFonts w:hint="eastAsia" w:ascii="仿宋_GB2312" w:hAnsi="仿宋_GB2312" w:eastAsia="仿宋_GB2312" w:cs="仿宋_GB2312"/>
          <w:sz w:val="32"/>
          <w:szCs w:val="32"/>
          <w:highlight w:val="none"/>
        </w:rPr>
        <w:t>场，发布各类视频</w:t>
      </w:r>
      <w:r>
        <w:rPr>
          <w:rFonts w:hint="eastAsia" w:ascii="仿宋_GB2312" w:hAnsi="仿宋_GB2312" w:eastAsia="仿宋_GB2312" w:cs="仿宋_GB2312"/>
          <w:sz w:val="32"/>
          <w:szCs w:val="32"/>
          <w:highlight w:val="none"/>
          <w:lang w:val="en-US" w:eastAsia="zh-CN"/>
        </w:rPr>
        <w:t>77</w:t>
      </w:r>
      <w:r>
        <w:rPr>
          <w:rFonts w:hint="eastAsia" w:ascii="仿宋_GB2312" w:hAnsi="仿宋_GB2312" w:eastAsia="仿宋_GB2312" w:cs="仿宋_GB2312"/>
          <w:sz w:val="32"/>
          <w:szCs w:val="32"/>
          <w:highlight w:val="none"/>
        </w:rPr>
        <w:t>个，网上调查</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sz w:val="32"/>
          <w:szCs w:val="32"/>
          <w:highlight w:val="none"/>
        </w:rPr>
        <w:t>次，制作热点专题</w:t>
      </w:r>
      <w:r>
        <w:rPr>
          <w:rFonts w:hint="eastAsia" w:ascii="仿宋_GB2312" w:hAnsi="仿宋_GB2312" w:eastAsia="仿宋_GB2312" w:cs="仿宋_GB2312"/>
          <w:sz w:val="32"/>
          <w:szCs w:val="32"/>
          <w:highlight w:val="none"/>
          <w:lang w:val="en-US" w:eastAsia="zh-CN"/>
        </w:rPr>
        <w:t>9</w:t>
      </w:r>
      <w:r>
        <w:rPr>
          <w:rFonts w:hint="eastAsia" w:ascii="仿宋_GB2312" w:hAnsi="仿宋_GB2312" w:eastAsia="仿宋_GB2312" w:cs="仿宋_GB2312"/>
          <w:sz w:val="32"/>
          <w:szCs w:val="32"/>
          <w:highlight w:val="none"/>
        </w:rPr>
        <w:t>个。</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4310" cy="2763520"/>
            <wp:effectExtent l="0" t="0" r="2540" b="17780"/>
            <wp:docPr id="9" name="图片 9" descr="微信图片_2019012516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125162752"/>
                    <pic:cNvPicPr>
                      <a:picLocks noChangeAspect="1"/>
                    </pic:cNvPicPr>
                  </pic:nvPicPr>
                  <pic:blipFill>
                    <a:blip r:embed="rId15"/>
                    <a:stretch>
                      <a:fillRect/>
                    </a:stretch>
                  </pic:blipFill>
                  <pic:spPr>
                    <a:xfrm>
                      <a:off x="0" y="0"/>
                      <a:ext cx="5274310" cy="2763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3.政务微博</w:t>
      </w:r>
      <w:r>
        <w:rPr>
          <w:rFonts w:hint="eastAsia" w:ascii="仿宋_GB2312" w:hAnsi="仿宋_GB2312" w:eastAsia="仿宋_GB2312" w:cs="仿宋_GB2312"/>
          <w:sz w:val="32"/>
          <w:szCs w:val="32"/>
          <w:lang w:eastAsia="zh-CN"/>
        </w:rPr>
        <w:t>微信客户端</w:t>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年，发布涉及重要文化工作、地方文化资讯、优秀传统文化的微博信息4668余条，目前粉丝</w:t>
      </w:r>
      <w:r>
        <w:rPr>
          <w:rFonts w:hint="eastAsia" w:ascii="仿宋_GB2312" w:hAnsi="仿宋_GB2312" w:eastAsia="仿宋_GB2312" w:cs="仿宋_GB2312"/>
          <w:sz w:val="32"/>
          <w:szCs w:val="32"/>
          <w:lang w:val="en-US" w:eastAsia="zh-CN"/>
        </w:rPr>
        <w:t>71.3</w:t>
      </w:r>
      <w:r>
        <w:rPr>
          <w:rFonts w:hint="eastAsia" w:ascii="仿宋_GB2312" w:hAnsi="仿宋_GB2312" w:eastAsia="仿宋_GB2312" w:cs="仿宋_GB2312"/>
          <w:sz w:val="32"/>
          <w:szCs w:val="32"/>
        </w:rPr>
        <w:t>万</w:t>
      </w:r>
      <w:r>
        <w:rPr>
          <w:rFonts w:hint="eastAsia" w:ascii="仿宋_GB2312" w:hAnsi="仿宋_GB2312" w:eastAsia="仿宋_GB2312" w:cs="仿宋_GB2312"/>
          <w:sz w:val="32"/>
          <w:szCs w:val="32"/>
          <w:lang w:eastAsia="zh-CN"/>
        </w:rPr>
        <w:t>；微信发布信息769条，目前粉丝2</w:t>
      </w:r>
      <w:r>
        <w:rPr>
          <w:rFonts w:hint="eastAsia" w:ascii="仿宋_GB2312" w:hAnsi="仿宋_GB2312" w:eastAsia="仿宋_GB2312" w:cs="仿宋_GB2312"/>
          <w:sz w:val="32"/>
          <w:szCs w:val="32"/>
          <w:lang w:val="en-US" w:eastAsia="zh-CN"/>
        </w:rPr>
        <w:t>.3万</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客户端发布信息</w:t>
      </w:r>
      <w:r>
        <w:rPr>
          <w:rFonts w:hint="eastAsia" w:ascii="仿宋_GB2312" w:hAnsi="仿宋_GB2312" w:eastAsia="仿宋_GB2312" w:cs="仿宋_GB2312"/>
          <w:sz w:val="32"/>
          <w:szCs w:val="32"/>
          <w:lang w:val="en-US" w:eastAsia="zh-CN"/>
        </w:rPr>
        <w:t>1484</w:t>
      </w:r>
      <w:r>
        <w:rPr>
          <w:rFonts w:hint="eastAsia" w:ascii="仿宋_GB2312" w:hAnsi="仿宋_GB2312" w:eastAsia="仿宋_GB2312" w:cs="仿宋_GB2312"/>
          <w:sz w:val="32"/>
          <w:szCs w:val="32"/>
          <w:lang w:eastAsia="zh-CN"/>
        </w:rPr>
        <w:t>条。</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4704080" cy="2717800"/>
            <wp:effectExtent l="0" t="0" r="1270" b="6350"/>
            <wp:docPr id="1" name="图片 1" descr="微信图片_2019012516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125161823"/>
                    <pic:cNvPicPr>
                      <a:picLocks noChangeAspect="1"/>
                    </pic:cNvPicPr>
                  </pic:nvPicPr>
                  <pic:blipFill>
                    <a:blip r:embed="rId16"/>
                    <a:srcRect r="1985"/>
                    <a:stretch>
                      <a:fillRect/>
                    </a:stretch>
                  </pic:blipFill>
                  <pic:spPr>
                    <a:xfrm>
                      <a:off x="0" y="0"/>
                      <a:ext cx="4704080" cy="2717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4.纸质刊物。201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年，发布《</w:t>
      </w:r>
      <w:r>
        <w:rPr>
          <w:rFonts w:hint="eastAsia" w:ascii="仿宋_GB2312" w:hAnsi="仿宋_GB2312" w:eastAsia="仿宋_GB2312" w:cs="仿宋_GB2312"/>
          <w:sz w:val="32"/>
          <w:szCs w:val="32"/>
          <w:lang w:eastAsia="zh-CN"/>
        </w:rPr>
        <w:t>山东文化惠民早知道</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12册</w:t>
      </w:r>
      <w:r>
        <w:rPr>
          <w:rFonts w:hint="eastAsia" w:ascii="仿宋_GB2312" w:hAnsi="仿宋_GB2312" w:eastAsia="仿宋_GB2312" w:cs="仿宋_GB2312"/>
          <w:sz w:val="32"/>
          <w:szCs w:val="32"/>
        </w:rPr>
        <w:t>，及时反映</w:t>
      </w:r>
      <w:r>
        <w:rPr>
          <w:rFonts w:hint="eastAsia" w:ascii="仿宋_GB2312" w:hAnsi="仿宋_GB2312" w:eastAsia="仿宋_GB2312" w:cs="仿宋_GB2312"/>
          <w:sz w:val="32"/>
          <w:szCs w:val="32"/>
          <w:lang w:eastAsia="zh-CN"/>
        </w:rPr>
        <w:t>群众关注</w:t>
      </w:r>
      <w:r>
        <w:rPr>
          <w:rFonts w:hint="eastAsia" w:ascii="仿宋_GB2312" w:hAnsi="仿宋_GB2312" w:eastAsia="仿宋_GB2312" w:cs="仿宋_GB2312"/>
          <w:sz w:val="32"/>
          <w:szCs w:val="32"/>
        </w:rPr>
        <w:t>文化</w:t>
      </w:r>
      <w:r>
        <w:rPr>
          <w:rFonts w:hint="eastAsia" w:ascii="仿宋_GB2312" w:hAnsi="仿宋_GB2312" w:eastAsia="仿宋_GB2312" w:cs="仿宋_GB2312"/>
          <w:sz w:val="32"/>
          <w:szCs w:val="32"/>
          <w:lang w:eastAsia="zh-CN"/>
        </w:rPr>
        <w:t>活动展演情况</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z w:val="32"/>
          <w:szCs w:val="32"/>
          <w:highlight w:val="none"/>
          <w:lang w:val="en-US" w:eastAsia="zh-CN"/>
        </w:rPr>
      </w:pPr>
      <w:r>
        <w:drawing>
          <wp:anchor distT="0" distB="0" distL="114935" distR="114935" simplePos="0" relativeHeight="251661312" behindDoc="0" locked="0" layoutInCell="1" allowOverlap="1">
            <wp:simplePos x="0" y="0"/>
            <wp:positionH relativeFrom="column">
              <wp:posOffset>-143510</wp:posOffset>
            </wp:positionH>
            <wp:positionV relativeFrom="paragraph">
              <wp:posOffset>76835</wp:posOffset>
            </wp:positionV>
            <wp:extent cx="5582920" cy="2211705"/>
            <wp:effectExtent l="0" t="0" r="17780" b="1714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5582920" cy="2211705"/>
                    </a:xfrm>
                    <a:prstGeom prst="rect">
                      <a:avLst/>
                    </a:prstGeom>
                    <a:noFill/>
                    <a:ln w="9525">
                      <a:noFill/>
                    </a:ln>
                  </pic:spPr>
                </pic:pic>
              </a:graphicData>
            </a:graphic>
          </wp:anchor>
        </w:drawing>
      </w:r>
      <w:r>
        <w:rPr>
          <w:rFonts w:hint="eastAsia" w:ascii="仿宋_GB2312" w:hAnsi="仿宋_GB2312" w:eastAsia="仿宋_GB2312" w:cs="仿宋_GB2312"/>
          <w:sz w:val="32"/>
          <w:szCs w:val="32"/>
          <w:highlight w:val="none"/>
        </w:rPr>
        <w:t>5.政府信息公开整合服务平台。201</w:t>
      </w:r>
      <w:r>
        <w:rPr>
          <w:rFonts w:hint="eastAsia" w:ascii="仿宋_GB2312" w:hAnsi="仿宋_GB2312" w:eastAsia="仿宋_GB2312" w:cs="仿宋_GB2312"/>
          <w:sz w:val="32"/>
          <w:szCs w:val="32"/>
          <w:highlight w:val="none"/>
          <w:lang w:val="en-US" w:eastAsia="zh-CN"/>
        </w:rPr>
        <w:t>8</w:t>
      </w:r>
      <w:r>
        <w:rPr>
          <w:rFonts w:hint="eastAsia" w:ascii="仿宋_GB2312" w:hAnsi="仿宋_GB2312" w:eastAsia="仿宋_GB2312" w:cs="仿宋_GB2312"/>
          <w:sz w:val="32"/>
          <w:szCs w:val="32"/>
          <w:highlight w:val="none"/>
        </w:rPr>
        <w:t>年，</w:t>
      </w:r>
      <w:r>
        <w:rPr>
          <w:rFonts w:hint="eastAsia" w:ascii="仿宋_GB2312" w:hAnsi="仿宋_GB2312" w:eastAsia="仿宋_GB2312" w:cs="仿宋_GB2312"/>
          <w:sz w:val="32"/>
          <w:szCs w:val="32"/>
          <w:highlight w:val="none"/>
          <w:lang w:val="en-US" w:eastAsia="zh-CN"/>
        </w:rPr>
        <w:t>根据省委省政府部署安排，积极对接跟进门户网站迁移上云整合工作。</w:t>
      </w:r>
      <w:r>
        <w:rPr>
          <w:rFonts w:hint="eastAsia" w:ascii="仿宋_GB2312" w:hAnsi="仿宋_GB2312" w:eastAsia="仿宋_GB2312" w:cs="仿宋_GB2312"/>
          <w:sz w:val="32"/>
          <w:szCs w:val="32"/>
          <w:highlight w:val="none"/>
          <w:lang w:eastAsia="zh-CN"/>
        </w:rPr>
        <w:t>原省文化厅行政审批</w:t>
      </w:r>
      <w:r>
        <w:rPr>
          <w:rFonts w:hint="eastAsia" w:ascii="仿宋_GB2312" w:hAnsi="仿宋_GB2312" w:eastAsia="仿宋_GB2312" w:cs="仿宋_GB2312"/>
          <w:sz w:val="32"/>
          <w:szCs w:val="32"/>
          <w:highlight w:val="none"/>
          <w:lang w:val="en-US" w:eastAsia="zh-CN"/>
        </w:rPr>
        <w:t>11项业务全部入住省级政务服务大厅，同时在厅网站开设专栏，将行政审批结果及时对公众公开。</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z w:val="32"/>
          <w:szCs w:val="32"/>
        </w:rPr>
      </w:pPr>
      <w:r>
        <w:rPr>
          <w:rFonts w:hint="eastAsia" w:ascii="黑体" w:hAnsi="黑体" w:eastAsia="黑体" w:cs="黑体"/>
          <w:sz w:val="32"/>
          <w:szCs w:val="32"/>
        </w:rPr>
        <w:t>三、政府信息依申请公开情况</w:t>
      </w:r>
    </w:p>
    <w:p>
      <w:pPr>
        <w:keepNext w:val="0"/>
        <w:keepLines w:val="0"/>
        <w:pageBreakBefore w:val="0"/>
        <w:widowControl w:val="0"/>
        <w:kinsoku/>
        <w:wordWrap/>
        <w:overflowPunct/>
        <w:topLinePunct w:val="0"/>
        <w:autoSpaceDE/>
        <w:autoSpaceDN/>
        <w:bidi w:val="0"/>
        <w:adjustRightInd/>
        <w:snapToGrid/>
        <w:spacing w:line="580" w:lineRule="exact"/>
        <w:ind w:firstLine="640"/>
        <w:textAlignment w:val="auto"/>
        <w:rPr>
          <w:rFonts w:hint="eastAsia" w:ascii="仿宋_GB2312" w:hAnsi="仿宋_GB2312" w:eastAsia="仿宋_GB2312" w:cs="仿宋_GB2312"/>
          <w:sz w:val="32"/>
          <w:szCs w:val="32"/>
        </w:rPr>
      </w:pPr>
      <w:r>
        <w:drawing>
          <wp:anchor distT="0" distB="0" distL="114935" distR="114935" simplePos="0" relativeHeight="251660288" behindDoc="0" locked="0" layoutInCell="1" allowOverlap="1">
            <wp:simplePos x="0" y="0"/>
            <wp:positionH relativeFrom="column">
              <wp:posOffset>1661795</wp:posOffset>
            </wp:positionH>
            <wp:positionV relativeFrom="paragraph">
              <wp:posOffset>1499235</wp:posOffset>
            </wp:positionV>
            <wp:extent cx="2675255" cy="3510280"/>
            <wp:effectExtent l="0" t="0" r="10795" b="1397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2675255" cy="3510280"/>
                    </a:xfrm>
                    <a:prstGeom prst="rect">
                      <a:avLst/>
                    </a:prstGeom>
                    <a:noFill/>
                    <a:ln w="9525">
                      <a:noFill/>
                    </a:ln>
                  </pic:spPr>
                </pic:pic>
              </a:graphicData>
            </a:graphic>
          </wp:anchor>
        </w:drawing>
      </w: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年共收到信息</w:t>
      </w:r>
      <w:r>
        <w:rPr>
          <w:rFonts w:hint="eastAsia" w:ascii="仿宋_GB2312" w:hAnsi="仿宋_GB2312" w:eastAsia="仿宋_GB2312" w:cs="仿宋_GB2312"/>
          <w:sz w:val="32"/>
          <w:szCs w:val="32"/>
          <w:lang w:eastAsia="zh-CN"/>
        </w:rPr>
        <w:t>依</w:t>
      </w:r>
      <w:r>
        <w:rPr>
          <w:rFonts w:hint="eastAsia" w:ascii="仿宋_GB2312" w:hAnsi="仿宋_GB2312" w:eastAsia="仿宋_GB2312" w:cs="仿宋_GB2312"/>
          <w:sz w:val="32"/>
          <w:szCs w:val="32"/>
        </w:rPr>
        <w:t>公开申请</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件。从申请主体看，公民个人提出的申请</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件、其他组织提出的申请</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highlight w:val="none"/>
        </w:rPr>
        <w:t>从涉及内容看，涉及文化市场的1件，涉及文博的</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件，涉及非遗的</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sz w:val="32"/>
          <w:szCs w:val="32"/>
          <w:highlight w:val="none"/>
        </w:rPr>
        <w:t>件，涉及</w:t>
      </w:r>
      <w:r>
        <w:rPr>
          <w:rFonts w:hint="eastAsia" w:ascii="仿宋_GB2312" w:hAnsi="仿宋_GB2312" w:eastAsia="仿宋_GB2312" w:cs="仿宋_GB2312"/>
          <w:sz w:val="32"/>
          <w:szCs w:val="32"/>
          <w:highlight w:val="none"/>
          <w:lang w:eastAsia="zh-CN"/>
        </w:rPr>
        <w:t>文化艺术考级</w:t>
      </w:r>
      <w:r>
        <w:rPr>
          <w:rFonts w:hint="eastAsia" w:ascii="仿宋_GB2312" w:hAnsi="仿宋_GB2312" w:eastAsia="仿宋_GB2312" w:cs="仿宋_GB2312"/>
          <w:sz w:val="32"/>
          <w:szCs w:val="32"/>
          <w:highlight w:val="none"/>
        </w:rPr>
        <w:t>的1件</w:t>
      </w:r>
      <w:r>
        <w:rPr>
          <w:rFonts w:hint="eastAsia" w:ascii="仿宋_GB2312" w:hAnsi="仿宋_GB2312" w:eastAsia="仿宋_GB2312" w:cs="仿宋_GB2312"/>
          <w:sz w:val="32"/>
          <w:szCs w:val="32"/>
        </w:rPr>
        <w:t>。全部按时予以答复。</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黑体" w:hAnsi="黑体" w:eastAsia="黑体" w:cs="黑体"/>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四、政府信息公开收费及减免情况</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年，无因政府信息公开工作收取或减免费用情况。</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　五、行政复议和行政诉讼情况</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未</w:t>
      </w:r>
      <w:r>
        <w:rPr>
          <w:rFonts w:hint="eastAsia" w:ascii="仿宋_GB2312" w:hAnsi="仿宋_GB2312" w:eastAsia="仿宋_GB2312" w:cs="仿宋_GB2312"/>
          <w:sz w:val="32"/>
          <w:szCs w:val="32"/>
        </w:rPr>
        <w:t>收到因政府信息公开申请行政复议申请</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黑体" w:hAnsi="黑体" w:eastAsia="黑体" w:cs="黑体"/>
          <w:sz w:val="32"/>
          <w:szCs w:val="32"/>
        </w:rPr>
        <w:t>六、主要问题及下一步工作重点</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highlight w:val="none"/>
          <w:lang w:eastAsia="zh-CN"/>
        </w:rPr>
        <w:t>厅</w:t>
      </w:r>
      <w:r>
        <w:rPr>
          <w:rFonts w:hint="eastAsia" w:ascii="仿宋_GB2312" w:hAnsi="仿宋_GB2312" w:eastAsia="仿宋_GB2312" w:cs="仿宋_GB2312"/>
          <w:sz w:val="32"/>
          <w:szCs w:val="32"/>
        </w:rPr>
        <w:t>政府信息公开工作取得了新的进展，但在推进“互联网+政务服务”建设，公众留言办理回应，信息公开力度等方面还有待进一步深化完善。201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年将重点做好以下方面工作：</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楷体" w:hAnsi="楷体" w:eastAsia="楷体" w:cs="楷体"/>
          <w:sz w:val="32"/>
          <w:szCs w:val="32"/>
        </w:rPr>
        <w:t>一是加大信息公开力度。</w:t>
      </w:r>
      <w:r>
        <w:rPr>
          <w:rFonts w:hint="eastAsia" w:ascii="仿宋_GB2312" w:hAnsi="仿宋_GB2312" w:eastAsia="仿宋_GB2312" w:cs="仿宋_GB2312"/>
          <w:sz w:val="32"/>
          <w:szCs w:val="32"/>
        </w:rPr>
        <w:t>通过信息发布、集中采访、媒体约稿等多种方式在</w:t>
      </w:r>
      <w:r>
        <w:rPr>
          <w:rFonts w:hint="eastAsia" w:ascii="仿宋_GB2312" w:hAnsi="仿宋_GB2312" w:eastAsia="仿宋_GB2312" w:cs="仿宋_GB2312"/>
          <w:sz w:val="32"/>
          <w:szCs w:val="32"/>
          <w:lang w:eastAsia="zh-CN"/>
        </w:rPr>
        <w:t>厅门户</w:t>
      </w:r>
      <w:r>
        <w:rPr>
          <w:rFonts w:hint="eastAsia" w:ascii="仿宋_GB2312" w:hAnsi="仿宋_GB2312" w:eastAsia="仿宋_GB2312" w:cs="仿宋_GB2312"/>
          <w:sz w:val="32"/>
          <w:szCs w:val="32"/>
        </w:rPr>
        <w:t>网站、各主要媒体公开与群众关系密切的文化</w:t>
      </w:r>
      <w:r>
        <w:rPr>
          <w:rFonts w:hint="eastAsia" w:ascii="仿宋_GB2312" w:hAnsi="仿宋_GB2312" w:eastAsia="仿宋_GB2312" w:cs="仿宋_GB2312"/>
          <w:sz w:val="32"/>
          <w:szCs w:val="32"/>
          <w:lang w:eastAsia="zh-CN"/>
        </w:rPr>
        <w:t>和旅游</w:t>
      </w:r>
      <w:r>
        <w:rPr>
          <w:rFonts w:hint="eastAsia" w:ascii="仿宋_GB2312" w:hAnsi="仿宋_GB2312" w:eastAsia="仿宋_GB2312" w:cs="仿宋_GB2312"/>
          <w:sz w:val="32"/>
          <w:szCs w:val="32"/>
        </w:rPr>
        <w:t>改革发展最新进展，回应社会关切。</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楷体" w:hAnsi="楷体" w:eastAsia="楷体" w:cs="楷体"/>
          <w:sz w:val="32"/>
          <w:szCs w:val="32"/>
        </w:rPr>
        <w:t>二是推进“互联网+政务服务”建设。</w:t>
      </w:r>
      <w:r>
        <w:rPr>
          <w:rFonts w:hint="eastAsia" w:ascii="仿宋_GB2312" w:hAnsi="仿宋_GB2312" w:eastAsia="仿宋_GB2312" w:cs="仿宋_GB2312"/>
          <w:sz w:val="32"/>
          <w:szCs w:val="32"/>
        </w:rPr>
        <w:t>加强一体化政务服务平台建设，</w:t>
      </w:r>
      <w:r>
        <w:rPr>
          <w:rFonts w:hint="eastAsia" w:ascii="仿宋_GB2312" w:hAnsi="仿宋_GB2312" w:eastAsia="仿宋_GB2312" w:cs="仿宋_GB2312"/>
          <w:sz w:val="32"/>
          <w:szCs w:val="32"/>
          <w:highlight w:val="none"/>
          <w:lang w:eastAsia="zh-CN"/>
        </w:rPr>
        <w:t>整合</w:t>
      </w:r>
      <w:r>
        <w:rPr>
          <w:rFonts w:hint="eastAsia" w:ascii="仿宋_GB2312" w:hAnsi="仿宋_GB2312" w:eastAsia="仿宋_GB2312" w:cs="仿宋_GB2312"/>
          <w:sz w:val="32"/>
          <w:szCs w:val="32"/>
          <w:highlight w:val="none"/>
        </w:rPr>
        <w:t>优化新版</w:t>
      </w:r>
      <w:r>
        <w:rPr>
          <w:rFonts w:hint="eastAsia" w:ascii="仿宋_GB2312" w:hAnsi="仿宋_GB2312" w:eastAsia="仿宋_GB2312" w:cs="仿宋_GB2312"/>
          <w:sz w:val="32"/>
          <w:szCs w:val="32"/>
          <w:highlight w:val="none"/>
          <w:lang w:val="en-US" w:eastAsia="zh-CN"/>
        </w:rPr>
        <w:t>厅</w:t>
      </w:r>
      <w:r>
        <w:rPr>
          <w:rFonts w:hint="eastAsia" w:ascii="仿宋_GB2312" w:hAnsi="仿宋_GB2312" w:eastAsia="仿宋_GB2312" w:cs="仿宋_GB2312"/>
          <w:sz w:val="32"/>
          <w:szCs w:val="32"/>
          <w:highlight w:val="none"/>
        </w:rPr>
        <w:t>网站页面</w:t>
      </w:r>
      <w:r>
        <w:rPr>
          <w:rFonts w:hint="eastAsia" w:ascii="仿宋_GB2312" w:hAnsi="仿宋_GB2312" w:eastAsia="仿宋_GB2312" w:cs="仿宋_GB2312"/>
          <w:sz w:val="32"/>
          <w:szCs w:val="32"/>
        </w:rPr>
        <w:t>，用好依申请公开网上受理渠道，方便公众获取所需信息。</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w:t>
      </w:r>
      <w:r>
        <w:rPr>
          <w:rFonts w:hint="eastAsia" w:ascii="楷体" w:hAnsi="楷体" w:eastAsia="楷体" w:cs="楷体"/>
          <w:sz w:val="32"/>
          <w:szCs w:val="32"/>
        </w:rPr>
        <w:t>三是加强政策解读分析。</w:t>
      </w:r>
      <w:r>
        <w:rPr>
          <w:rFonts w:hint="eastAsia" w:ascii="仿宋_GB2312" w:hAnsi="仿宋_GB2312" w:eastAsia="仿宋_GB2312" w:cs="仿宋_GB2312"/>
          <w:sz w:val="32"/>
          <w:szCs w:val="32"/>
        </w:rPr>
        <w:t>配合文化</w:t>
      </w:r>
      <w:r>
        <w:rPr>
          <w:rFonts w:hint="eastAsia" w:ascii="仿宋_GB2312" w:hAnsi="仿宋_GB2312" w:eastAsia="仿宋_GB2312" w:cs="仿宋_GB2312"/>
          <w:sz w:val="32"/>
          <w:szCs w:val="32"/>
          <w:lang w:eastAsia="zh-CN"/>
        </w:rPr>
        <w:t>和旅游</w:t>
      </w:r>
      <w:r>
        <w:rPr>
          <w:rFonts w:hint="eastAsia" w:ascii="仿宋_GB2312" w:hAnsi="仿宋_GB2312" w:eastAsia="仿宋_GB2312" w:cs="仿宋_GB2312"/>
          <w:sz w:val="32"/>
          <w:szCs w:val="32"/>
        </w:rPr>
        <w:t>领域重要文件、重大政策的出台，及时</w:t>
      </w:r>
      <w:r>
        <w:rPr>
          <w:rFonts w:hint="eastAsia" w:ascii="仿宋_GB2312" w:hAnsi="仿宋_GB2312" w:eastAsia="仿宋_GB2312" w:cs="仿宋_GB2312"/>
          <w:sz w:val="32"/>
          <w:szCs w:val="32"/>
          <w:lang w:eastAsia="zh-CN"/>
        </w:rPr>
        <w:t>召开新闻发布会、</w:t>
      </w:r>
      <w:r>
        <w:rPr>
          <w:rFonts w:hint="eastAsia" w:ascii="仿宋_GB2312" w:hAnsi="仿宋_GB2312" w:eastAsia="仿宋_GB2312" w:cs="仿宋_GB2312"/>
          <w:sz w:val="32"/>
          <w:szCs w:val="32"/>
        </w:rPr>
        <w:t>组织专家、媒体发布相应解读分析，通过文章、图表、</w:t>
      </w:r>
      <w:r>
        <w:rPr>
          <w:rFonts w:hint="eastAsia" w:ascii="仿宋_GB2312" w:hAnsi="仿宋_GB2312" w:eastAsia="仿宋_GB2312" w:cs="仿宋_GB2312"/>
          <w:sz w:val="32"/>
          <w:szCs w:val="32"/>
          <w:lang w:eastAsia="zh-CN"/>
        </w:rPr>
        <w:t>图解、</w:t>
      </w:r>
      <w:r>
        <w:rPr>
          <w:rFonts w:hint="eastAsia" w:ascii="仿宋_GB2312" w:hAnsi="仿宋_GB2312" w:eastAsia="仿宋_GB2312" w:cs="仿宋_GB2312"/>
          <w:sz w:val="32"/>
          <w:szCs w:val="32"/>
        </w:rPr>
        <w:t>视频</w:t>
      </w:r>
      <w:r>
        <w:rPr>
          <w:rFonts w:hint="eastAsia" w:ascii="仿宋_GB2312" w:hAnsi="仿宋_GB2312" w:eastAsia="仿宋_GB2312" w:cs="仿宋_GB2312"/>
          <w:sz w:val="32"/>
          <w:szCs w:val="32"/>
          <w:lang w:eastAsia="zh-CN"/>
        </w:rPr>
        <w:t>、音频</w:t>
      </w:r>
      <w:r>
        <w:rPr>
          <w:rFonts w:hint="eastAsia" w:ascii="仿宋_GB2312" w:hAnsi="仿宋_GB2312" w:eastAsia="仿宋_GB2312" w:cs="仿宋_GB2312"/>
          <w:sz w:val="32"/>
          <w:szCs w:val="32"/>
        </w:rPr>
        <w:t>等多种方式，增强解读效果。</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sz w:val="32"/>
          <w:szCs w:val="32"/>
        </w:rPr>
      </w:pPr>
      <w:r>
        <w:rPr>
          <w:rFonts w:hint="eastAsia" w:ascii="楷体" w:hAnsi="楷体" w:eastAsia="楷体" w:cs="楷体"/>
          <w:sz w:val="32"/>
          <w:szCs w:val="32"/>
        </w:rPr>
        <w:t>四是完善网站管理监督。</w:t>
      </w:r>
      <w:r>
        <w:rPr>
          <w:rFonts w:hint="eastAsia" w:ascii="楷体" w:hAnsi="楷体" w:eastAsia="楷体" w:cs="楷体"/>
          <w:sz w:val="32"/>
          <w:szCs w:val="32"/>
          <w:lang w:eastAsia="zh-CN"/>
        </w:rPr>
        <w:t>继续</w:t>
      </w:r>
      <w:r>
        <w:rPr>
          <w:rFonts w:hint="eastAsia" w:ascii="仿宋_GB2312" w:hAnsi="仿宋_GB2312" w:eastAsia="仿宋_GB2312" w:cs="仿宋_GB2312"/>
          <w:sz w:val="32"/>
          <w:szCs w:val="32"/>
        </w:rPr>
        <w:t>做好</w:t>
      </w:r>
      <w:r>
        <w:rPr>
          <w:rFonts w:hint="eastAsia" w:ascii="仿宋_GB2312" w:hAnsi="仿宋_GB2312" w:eastAsia="仿宋_GB2312" w:cs="仿宋_GB2312"/>
          <w:sz w:val="32"/>
          <w:szCs w:val="32"/>
          <w:lang w:eastAsia="zh-CN"/>
        </w:rPr>
        <w:t>厅</w:t>
      </w:r>
      <w:r>
        <w:rPr>
          <w:rFonts w:hint="eastAsia" w:ascii="仿宋_GB2312" w:hAnsi="仿宋_GB2312" w:eastAsia="仿宋_GB2312" w:cs="仿宋_GB2312"/>
          <w:sz w:val="32"/>
          <w:szCs w:val="32"/>
        </w:rPr>
        <w:t>网站</w:t>
      </w:r>
      <w:r>
        <w:rPr>
          <w:rFonts w:hint="eastAsia" w:ascii="仿宋_GB2312" w:hAnsi="仿宋_GB2312" w:eastAsia="仿宋_GB2312" w:cs="仿宋_GB2312"/>
          <w:color w:val="auto"/>
          <w:sz w:val="32"/>
          <w:szCs w:val="32"/>
          <w:lang w:eastAsia="zh-CN"/>
        </w:rPr>
        <w:t>第三方抽查测评</w:t>
      </w:r>
      <w:r>
        <w:rPr>
          <w:rFonts w:hint="eastAsia" w:ascii="仿宋_GB2312" w:hAnsi="仿宋_GB2312" w:eastAsia="仿宋_GB2312" w:cs="仿宋_GB2312"/>
          <w:sz w:val="32"/>
          <w:szCs w:val="32"/>
        </w:rPr>
        <w:t>，改善工作机制，及时回应公众留言，确保公众反映的意见建议有回音有落实。</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w:t>
      </w:r>
      <w:r>
        <w:rPr>
          <w:rFonts w:hint="eastAsia" w:ascii="仿宋_GB2312" w:hAnsi="仿宋_GB2312" w:eastAsia="仿宋_GB2312" w:cs="仿宋_GB2312"/>
          <w:sz w:val="32"/>
          <w:szCs w:val="32"/>
          <w:lang w:val="en-US" w:eastAsia="zh-CN"/>
        </w:rPr>
        <w:t>2018年度政府信息公开工作情况统计表</w:t>
      </w:r>
    </w:p>
    <w:p>
      <w:pPr>
        <w:keepNext w:val="0"/>
        <w:keepLines w:val="0"/>
        <w:pageBreakBefore w:val="0"/>
        <w:widowControl w:val="0"/>
        <w:kinsoku/>
        <w:wordWrap/>
        <w:overflowPunct/>
        <w:topLinePunct w:val="0"/>
        <w:autoSpaceDE/>
        <w:autoSpaceDN/>
        <w:bidi w:val="0"/>
        <w:adjustRightInd/>
        <w:snapToGrid/>
        <w:spacing w:line="540" w:lineRule="exact"/>
        <w:ind w:firstLine="64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w:t>
      </w:r>
    </w:p>
    <w:p>
      <w:pPr>
        <w:keepNext w:val="0"/>
        <w:keepLines w:val="0"/>
        <w:pageBreakBefore w:val="0"/>
        <w:widowControl w:val="0"/>
        <w:kinsoku/>
        <w:wordWrap/>
        <w:overflowPunct/>
        <w:topLinePunct w:val="0"/>
        <w:autoSpaceDE/>
        <w:autoSpaceDN/>
        <w:bidi w:val="0"/>
        <w:adjustRightInd/>
        <w:snapToGrid/>
        <w:spacing w:line="540" w:lineRule="exact"/>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201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pPr>
        <w:jc w:val="center"/>
        <w:rPr>
          <w:rFonts w:hint="eastAsia" w:ascii="宋体" w:hAnsi="宋体"/>
          <w:b/>
          <w:sz w:val="32"/>
        </w:rPr>
      </w:pPr>
      <w:r>
        <w:rPr>
          <w:rFonts w:hint="eastAsia" w:ascii="宋体" w:hAnsi="宋体"/>
          <w:b/>
          <w:sz w:val="32"/>
        </w:rPr>
        <w:t>2018年度政府信息公开工作情况统计表</w:t>
      </w:r>
    </w:p>
    <w:p>
      <w:pPr>
        <w:jc w:val="center"/>
        <w:rPr>
          <w:rFonts w:hint="eastAsia"/>
        </w:rPr>
      </w:pPr>
      <w:r>
        <w:rPr>
          <w:rFonts w:hint="eastAsia"/>
          <w:b/>
          <w:sz w:val="28"/>
          <w:szCs w:val="28"/>
        </w:rPr>
        <w:t>（</w:t>
      </w:r>
      <w:r>
        <w:rPr>
          <w:rFonts w:hint="eastAsia"/>
          <w:b/>
          <w:sz w:val="28"/>
          <w:szCs w:val="28"/>
          <w:lang w:eastAsia="zh-CN"/>
        </w:rPr>
        <w:t>原山东省文化厅</w:t>
      </w:r>
      <w:r>
        <w:rPr>
          <w:rFonts w:hint="eastAsia"/>
          <w:b/>
          <w:sz w:val="28"/>
          <w:szCs w:val="28"/>
        </w:rPr>
        <w:t>）</w:t>
      </w:r>
    </w:p>
    <w:tbl>
      <w:tblPr>
        <w:tblStyle w:val="6"/>
        <w:tblW w:w="9450" w:type="dxa"/>
        <w:jc w:val="center"/>
        <w:tblInd w:w="-8"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5"/>
              <w:spacing w:before="0" w:beforeAutospacing="0" w:after="0" w:afterAutospacing="0" w:line="420" w:lineRule="atLeast"/>
              <w:ind w:firstLine="685"/>
              <w:jc w:val="center"/>
              <w:rPr>
                <w:rFonts w:hint="eastAsia"/>
                <w:color w:val="000000"/>
              </w:rPr>
            </w:pPr>
            <w:r>
              <w:rPr>
                <w:rStyle w:val="8"/>
                <w:rFonts w:hint="eastAsia"/>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Style w:val="8"/>
                <w:rFonts w:hint="eastAsia" w:ascii="宋体" w:hAnsi="宋体"/>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Style w:val="8"/>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highlight w:val="none"/>
                <w:lang w:val="en-US" w:eastAsia="zh-CN"/>
              </w:rPr>
              <w:t>6921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tabs>
                <w:tab w:val="left" w:pos="342"/>
              </w:tabs>
              <w:spacing w:line="420" w:lineRule="atLeas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olor w:val="000000"/>
                <w:sz w:val="20"/>
                <w:szCs w:val="20"/>
                <w:lang w:val="en-US" w:eastAsia="zh-CN"/>
              </w:rPr>
              <w:t>6921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olor w:val="000000"/>
                <w:sz w:val="20"/>
                <w:szCs w:val="20"/>
                <w:lang w:val="en-US" w:eastAsia="zh-CN"/>
              </w:rPr>
              <w:t>4668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olor w:val="000000"/>
                <w:sz w:val="20"/>
                <w:szCs w:val="20"/>
                <w:lang w:val="en-US" w:eastAsia="zh-CN"/>
              </w:rPr>
              <w:t>769</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highlight w:val="none"/>
                <w:lang w:val="en-US" w:eastAsia="zh-CN"/>
              </w:rPr>
              <w:t>1484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pStyle w:val="5"/>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noWrap w:val="0"/>
            <w:vAlign w:val="center"/>
          </w:tcPr>
          <w:p>
            <w:pPr>
              <w:jc w:val="cente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pStyle w:val="5"/>
              <w:spacing w:before="0" w:beforeAutospacing="0" w:after="0" w:afterAutospacing="0"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highlight w:val="none"/>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ascii="宋体" w:hAnsi="宋体" w:cs="宋体"/>
                <w:color w:val="000000"/>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olor w:val="000000"/>
                <w:sz w:val="20"/>
                <w:szCs w:val="20"/>
                <w:lang w:val="en-US" w:eastAsia="zh-CN"/>
              </w:rPr>
              <w:t>16</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eastAsia="zh-CN"/>
              </w:rPr>
            </w:pP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0"/>
                <w:szCs w:val="20"/>
                <w:lang w:val="en-US" w:eastAsia="zh-CN"/>
              </w:rPr>
            </w:pPr>
            <w:r>
              <w:rPr>
                <w:rFonts w:hint="eastAsia" w:ascii="宋体" w:hAnsi="宋体" w:eastAsia="宋体" w:cs="宋体"/>
                <w:color w:val="000000"/>
                <w:sz w:val="20"/>
                <w:szCs w:val="20"/>
                <w:lang w:val="en-US" w:eastAsia="zh-CN"/>
              </w:rPr>
              <w:t>20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pStyle w:val="5"/>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noWrap w:val="0"/>
            <w:vAlign w:val="center"/>
          </w:tcPr>
          <w:p>
            <w:pPr>
              <w:jc w:val="cente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eastAsia="zh-CN"/>
              </w:rPr>
            </w:pPr>
            <w:r>
              <w:rPr>
                <w:rFonts w:hint="eastAsia" w:ascii="宋体" w:hAnsi="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noWrap w:val="0"/>
            <w:vAlign w:val="center"/>
          </w:tcPr>
          <w:p>
            <w:pPr>
              <w:spacing w:line="420" w:lineRule="atLeast"/>
              <w:rPr>
                <w:rFonts w:hint="eastAsia" w:ascii="宋体" w:hAnsi="宋体"/>
                <w:color w:val="000000"/>
                <w:sz w:val="20"/>
                <w:szCs w:val="20"/>
              </w:rPr>
            </w:pPr>
            <w:r>
              <w:rPr>
                <w:rFonts w:hint="eastAsia" w:ascii="宋体" w:hAnsi="宋体"/>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s="宋体"/>
                <w:color w:val="000000"/>
                <w:sz w:val="24"/>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4</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3</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hint="eastAsia"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hint="eastAsia" w:ascii="宋体" w:hAnsi="宋体"/>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280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hint="eastAsia"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140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olor w:val="000000"/>
                <w:sz w:val="20"/>
                <w:szCs w:val="20"/>
                <w:lang w:val="en-US" w:eastAsia="zh-CN"/>
              </w:rPr>
            </w:pPr>
            <w:r>
              <w:rPr>
                <w:rFonts w:hint="eastAsia" w:ascii="宋体" w:hAnsi="宋体"/>
                <w:color w:val="000000"/>
                <w:sz w:val="20"/>
                <w:szCs w:val="20"/>
                <w:lang w:val="en-US" w:eastAsia="zh-CN"/>
              </w:rPr>
              <w:t>140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20" w:type="dxa"/>
            <w:tcBorders>
              <w:top w:val="outset" w:color="000000" w:sz="6" w:space="0"/>
              <w:left w:val="outset" w:color="000000" w:sz="6" w:space="0"/>
              <w:bottom w:val="single" w:color="auto" w:sz="4"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noWrap w:val="0"/>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ascii="宋体" w:hAnsi="宋体" w:cs="宋体"/>
                <w:color w:val="000000"/>
                <w:sz w:val="24"/>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sz w:val="20"/>
                <w:szCs w:val="20"/>
                <w:lang w:val="en-US" w:eastAsia="zh-CN"/>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noWrap w:val="0"/>
            <w:vAlign w:val="center"/>
          </w:tcPr>
          <w:p>
            <w:pPr>
              <w:spacing w:line="420" w:lineRule="atLeast"/>
              <w:jc w:val="center"/>
              <w:rPr>
                <w:rFonts w:hint="eastAsia" w:ascii="宋体" w:hAnsi="宋体" w:eastAsia="宋体" w:cs="宋体"/>
                <w:color w:val="000000"/>
                <w:sz w:val="24"/>
                <w:lang w:val="en-US" w:eastAsia="zh-CN"/>
              </w:rPr>
            </w:pPr>
            <w:r>
              <w:rPr>
                <w:rFonts w:hint="eastAsia" w:ascii="宋体" w:hAnsi="宋体"/>
                <w:color w:val="000000"/>
                <w:lang w:val="en-US" w:eastAsia="zh-CN"/>
              </w:rPr>
              <w:t>175</w:t>
            </w:r>
          </w:p>
        </w:tc>
      </w:tr>
    </w:tbl>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7Cx/C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fzsLH8ICAADYBQAADgAAAAAA&#10;AAABACAAAAAfAQAAZHJzL2Uyb0RvYy54bWxQSwUGAAAAAAYABgBZAQAAUwY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B20FB6"/>
    <w:rsid w:val="00313701"/>
    <w:rsid w:val="00E10CED"/>
    <w:rsid w:val="00F908BB"/>
    <w:rsid w:val="010B44B9"/>
    <w:rsid w:val="019135DC"/>
    <w:rsid w:val="019B5297"/>
    <w:rsid w:val="019E0E15"/>
    <w:rsid w:val="01B25CC2"/>
    <w:rsid w:val="02510CB2"/>
    <w:rsid w:val="02A444FF"/>
    <w:rsid w:val="03662362"/>
    <w:rsid w:val="03695A0E"/>
    <w:rsid w:val="03C3373C"/>
    <w:rsid w:val="03FA5097"/>
    <w:rsid w:val="0405049B"/>
    <w:rsid w:val="04092679"/>
    <w:rsid w:val="047337A5"/>
    <w:rsid w:val="049D7F01"/>
    <w:rsid w:val="04B20FB6"/>
    <w:rsid w:val="04D43598"/>
    <w:rsid w:val="04DA561E"/>
    <w:rsid w:val="04EA0C4E"/>
    <w:rsid w:val="050F4CC2"/>
    <w:rsid w:val="05BC3F8E"/>
    <w:rsid w:val="061A5759"/>
    <w:rsid w:val="061D74C6"/>
    <w:rsid w:val="069C1F8C"/>
    <w:rsid w:val="06E324E7"/>
    <w:rsid w:val="072C49EF"/>
    <w:rsid w:val="07601754"/>
    <w:rsid w:val="07A05FB1"/>
    <w:rsid w:val="07E56557"/>
    <w:rsid w:val="089700A7"/>
    <w:rsid w:val="0A156451"/>
    <w:rsid w:val="0A20719A"/>
    <w:rsid w:val="0A3647E3"/>
    <w:rsid w:val="0A422F03"/>
    <w:rsid w:val="0A4A0136"/>
    <w:rsid w:val="0ACE3054"/>
    <w:rsid w:val="0AEE086F"/>
    <w:rsid w:val="0B0F6CBA"/>
    <w:rsid w:val="0B765096"/>
    <w:rsid w:val="0BD8737B"/>
    <w:rsid w:val="0BE135F3"/>
    <w:rsid w:val="0C0C32AC"/>
    <w:rsid w:val="0C170B5C"/>
    <w:rsid w:val="0C840C8D"/>
    <w:rsid w:val="0C997312"/>
    <w:rsid w:val="0DEE7CEF"/>
    <w:rsid w:val="0DF137BC"/>
    <w:rsid w:val="0E201E9B"/>
    <w:rsid w:val="0E5F128C"/>
    <w:rsid w:val="0E630EA3"/>
    <w:rsid w:val="0E8203AF"/>
    <w:rsid w:val="0EB34A89"/>
    <w:rsid w:val="0F0F4C97"/>
    <w:rsid w:val="0F346FA5"/>
    <w:rsid w:val="0FA16526"/>
    <w:rsid w:val="0FA701FB"/>
    <w:rsid w:val="0FAB2C5D"/>
    <w:rsid w:val="0FAC5B23"/>
    <w:rsid w:val="0FFA782F"/>
    <w:rsid w:val="107574C4"/>
    <w:rsid w:val="108D00BB"/>
    <w:rsid w:val="109E49FE"/>
    <w:rsid w:val="10BA796F"/>
    <w:rsid w:val="10E501C7"/>
    <w:rsid w:val="111E2350"/>
    <w:rsid w:val="113859A2"/>
    <w:rsid w:val="117B14F0"/>
    <w:rsid w:val="120C6C81"/>
    <w:rsid w:val="12BE176D"/>
    <w:rsid w:val="13BC0B4D"/>
    <w:rsid w:val="13D7531A"/>
    <w:rsid w:val="13EA7D33"/>
    <w:rsid w:val="13F8189F"/>
    <w:rsid w:val="14EF0244"/>
    <w:rsid w:val="153D6D3F"/>
    <w:rsid w:val="16220D59"/>
    <w:rsid w:val="166B0048"/>
    <w:rsid w:val="166B41D1"/>
    <w:rsid w:val="16BD4315"/>
    <w:rsid w:val="16DD3CE2"/>
    <w:rsid w:val="16E932A5"/>
    <w:rsid w:val="174C261C"/>
    <w:rsid w:val="17A707D4"/>
    <w:rsid w:val="17BD7EB2"/>
    <w:rsid w:val="17DD050F"/>
    <w:rsid w:val="183D4567"/>
    <w:rsid w:val="1856133B"/>
    <w:rsid w:val="18DC11D1"/>
    <w:rsid w:val="18FD4D37"/>
    <w:rsid w:val="192567D1"/>
    <w:rsid w:val="197A1A71"/>
    <w:rsid w:val="19EF703A"/>
    <w:rsid w:val="1A4068E3"/>
    <w:rsid w:val="1A426769"/>
    <w:rsid w:val="1A78502F"/>
    <w:rsid w:val="1AF2179F"/>
    <w:rsid w:val="1AFD5B50"/>
    <w:rsid w:val="1B081233"/>
    <w:rsid w:val="1B771632"/>
    <w:rsid w:val="1BD806F6"/>
    <w:rsid w:val="1BEF489B"/>
    <w:rsid w:val="1C0137D8"/>
    <w:rsid w:val="1C6B7FE6"/>
    <w:rsid w:val="1D273928"/>
    <w:rsid w:val="1D9065C5"/>
    <w:rsid w:val="1DD47901"/>
    <w:rsid w:val="1DEC16A5"/>
    <w:rsid w:val="1E0A4B40"/>
    <w:rsid w:val="1E291D77"/>
    <w:rsid w:val="1E704CC5"/>
    <w:rsid w:val="1EAA177A"/>
    <w:rsid w:val="1EF90819"/>
    <w:rsid w:val="1F4E6573"/>
    <w:rsid w:val="1F4F0D7C"/>
    <w:rsid w:val="1F7A3F74"/>
    <w:rsid w:val="1FBC439E"/>
    <w:rsid w:val="1FCD1881"/>
    <w:rsid w:val="1FD84B9E"/>
    <w:rsid w:val="1FEF6A5C"/>
    <w:rsid w:val="200773F9"/>
    <w:rsid w:val="200C38F5"/>
    <w:rsid w:val="20427246"/>
    <w:rsid w:val="20770DC3"/>
    <w:rsid w:val="20864989"/>
    <w:rsid w:val="20B522C4"/>
    <w:rsid w:val="20DF3FD5"/>
    <w:rsid w:val="20EE26F7"/>
    <w:rsid w:val="21AA488E"/>
    <w:rsid w:val="21C75A60"/>
    <w:rsid w:val="21F74E51"/>
    <w:rsid w:val="224D5033"/>
    <w:rsid w:val="229E2518"/>
    <w:rsid w:val="244B3315"/>
    <w:rsid w:val="24B065DF"/>
    <w:rsid w:val="25105571"/>
    <w:rsid w:val="25862676"/>
    <w:rsid w:val="25EB3366"/>
    <w:rsid w:val="267C4872"/>
    <w:rsid w:val="26A1086A"/>
    <w:rsid w:val="26BA79F4"/>
    <w:rsid w:val="26C235DC"/>
    <w:rsid w:val="26C57490"/>
    <w:rsid w:val="26CC7012"/>
    <w:rsid w:val="273856D7"/>
    <w:rsid w:val="277457D0"/>
    <w:rsid w:val="27C92E32"/>
    <w:rsid w:val="281F2DF2"/>
    <w:rsid w:val="28770E90"/>
    <w:rsid w:val="28B42300"/>
    <w:rsid w:val="29341209"/>
    <w:rsid w:val="2A2E4EC0"/>
    <w:rsid w:val="2A6668D3"/>
    <w:rsid w:val="2A993EF2"/>
    <w:rsid w:val="2AC761D8"/>
    <w:rsid w:val="2B206890"/>
    <w:rsid w:val="2B3C6CEA"/>
    <w:rsid w:val="2B42042F"/>
    <w:rsid w:val="2B580E1F"/>
    <w:rsid w:val="2C9B7020"/>
    <w:rsid w:val="2CFA2194"/>
    <w:rsid w:val="2D1A4F27"/>
    <w:rsid w:val="2D5C20B0"/>
    <w:rsid w:val="2D6738D5"/>
    <w:rsid w:val="2DB445E4"/>
    <w:rsid w:val="2DE56677"/>
    <w:rsid w:val="2E2D6F0E"/>
    <w:rsid w:val="2E6F6F73"/>
    <w:rsid w:val="2F2736DD"/>
    <w:rsid w:val="2F50181F"/>
    <w:rsid w:val="2F752435"/>
    <w:rsid w:val="2FDF2B08"/>
    <w:rsid w:val="300436CB"/>
    <w:rsid w:val="30046601"/>
    <w:rsid w:val="3065456C"/>
    <w:rsid w:val="30AC3D36"/>
    <w:rsid w:val="30C003A8"/>
    <w:rsid w:val="30CA08D5"/>
    <w:rsid w:val="313549C9"/>
    <w:rsid w:val="3138347F"/>
    <w:rsid w:val="313A6142"/>
    <w:rsid w:val="31AA5B6D"/>
    <w:rsid w:val="31B94982"/>
    <w:rsid w:val="31D6029D"/>
    <w:rsid w:val="320442E7"/>
    <w:rsid w:val="324C187D"/>
    <w:rsid w:val="325063D2"/>
    <w:rsid w:val="32B577C1"/>
    <w:rsid w:val="33392947"/>
    <w:rsid w:val="33394F66"/>
    <w:rsid w:val="33490B52"/>
    <w:rsid w:val="33F65C12"/>
    <w:rsid w:val="34794B1F"/>
    <w:rsid w:val="348F5108"/>
    <w:rsid w:val="34B52232"/>
    <w:rsid w:val="35690574"/>
    <w:rsid w:val="356D0BCF"/>
    <w:rsid w:val="3587234D"/>
    <w:rsid w:val="35FC7AA2"/>
    <w:rsid w:val="37066ED9"/>
    <w:rsid w:val="37190453"/>
    <w:rsid w:val="37226791"/>
    <w:rsid w:val="37C36F5D"/>
    <w:rsid w:val="37CF43DE"/>
    <w:rsid w:val="381A18C4"/>
    <w:rsid w:val="382221D0"/>
    <w:rsid w:val="389F514C"/>
    <w:rsid w:val="38FB5032"/>
    <w:rsid w:val="39083B3B"/>
    <w:rsid w:val="392C4D4D"/>
    <w:rsid w:val="39BE1ADA"/>
    <w:rsid w:val="39F24671"/>
    <w:rsid w:val="3A0742AD"/>
    <w:rsid w:val="3A184025"/>
    <w:rsid w:val="3ACF5F8A"/>
    <w:rsid w:val="3B0507C1"/>
    <w:rsid w:val="3B175D06"/>
    <w:rsid w:val="3BB57554"/>
    <w:rsid w:val="3BD352CF"/>
    <w:rsid w:val="3C0F42C3"/>
    <w:rsid w:val="3C5C0904"/>
    <w:rsid w:val="3C7A7C7F"/>
    <w:rsid w:val="3C8C2BD7"/>
    <w:rsid w:val="3CAD265B"/>
    <w:rsid w:val="3D074C2B"/>
    <w:rsid w:val="3D362288"/>
    <w:rsid w:val="3D3A1952"/>
    <w:rsid w:val="3E0933D2"/>
    <w:rsid w:val="3E212BBA"/>
    <w:rsid w:val="3E4A3EC2"/>
    <w:rsid w:val="3E5657D3"/>
    <w:rsid w:val="3E700063"/>
    <w:rsid w:val="3EB8723C"/>
    <w:rsid w:val="3EC86C80"/>
    <w:rsid w:val="3F024A8B"/>
    <w:rsid w:val="3F2563CC"/>
    <w:rsid w:val="3F916982"/>
    <w:rsid w:val="400415EA"/>
    <w:rsid w:val="40250CE5"/>
    <w:rsid w:val="40857A8E"/>
    <w:rsid w:val="40BF7CDF"/>
    <w:rsid w:val="40E63935"/>
    <w:rsid w:val="4130357E"/>
    <w:rsid w:val="418245F2"/>
    <w:rsid w:val="41F40DE8"/>
    <w:rsid w:val="41F76161"/>
    <w:rsid w:val="420B06BF"/>
    <w:rsid w:val="429D42D2"/>
    <w:rsid w:val="42C74B1C"/>
    <w:rsid w:val="42FB642E"/>
    <w:rsid w:val="43003FE7"/>
    <w:rsid w:val="432A1557"/>
    <w:rsid w:val="437C3581"/>
    <w:rsid w:val="4393243B"/>
    <w:rsid w:val="43F67957"/>
    <w:rsid w:val="445B7740"/>
    <w:rsid w:val="445F5D3C"/>
    <w:rsid w:val="44850836"/>
    <w:rsid w:val="44904ACB"/>
    <w:rsid w:val="44A23447"/>
    <w:rsid w:val="450E0C71"/>
    <w:rsid w:val="45175F5E"/>
    <w:rsid w:val="453E3262"/>
    <w:rsid w:val="4594234D"/>
    <w:rsid w:val="45D32000"/>
    <w:rsid w:val="45E0548D"/>
    <w:rsid w:val="46316142"/>
    <w:rsid w:val="466E44E6"/>
    <w:rsid w:val="46C9261F"/>
    <w:rsid w:val="47041CE0"/>
    <w:rsid w:val="470462AD"/>
    <w:rsid w:val="471D1E56"/>
    <w:rsid w:val="472D3555"/>
    <w:rsid w:val="47BC7268"/>
    <w:rsid w:val="47ED6720"/>
    <w:rsid w:val="486242E4"/>
    <w:rsid w:val="49951742"/>
    <w:rsid w:val="49D00AE3"/>
    <w:rsid w:val="4A8F5803"/>
    <w:rsid w:val="4ACD5AA8"/>
    <w:rsid w:val="4AFD499C"/>
    <w:rsid w:val="4B053A2E"/>
    <w:rsid w:val="4BD476F6"/>
    <w:rsid w:val="4BED7A8F"/>
    <w:rsid w:val="4BF16E07"/>
    <w:rsid w:val="4BFD7EA3"/>
    <w:rsid w:val="4C6B1989"/>
    <w:rsid w:val="4C8808EC"/>
    <w:rsid w:val="4CA85C3F"/>
    <w:rsid w:val="4CFB0236"/>
    <w:rsid w:val="4CFC3D97"/>
    <w:rsid w:val="4CFF3C38"/>
    <w:rsid w:val="4D272676"/>
    <w:rsid w:val="4D354860"/>
    <w:rsid w:val="4D9117EB"/>
    <w:rsid w:val="4DB50195"/>
    <w:rsid w:val="4DC4055A"/>
    <w:rsid w:val="4F18585F"/>
    <w:rsid w:val="4F1A152A"/>
    <w:rsid w:val="4F373D29"/>
    <w:rsid w:val="4F3F37C7"/>
    <w:rsid w:val="4F6329B2"/>
    <w:rsid w:val="4FAB2FAC"/>
    <w:rsid w:val="504E4457"/>
    <w:rsid w:val="50586FA3"/>
    <w:rsid w:val="50C212EC"/>
    <w:rsid w:val="51140E8F"/>
    <w:rsid w:val="51207C82"/>
    <w:rsid w:val="51391315"/>
    <w:rsid w:val="522B3AD5"/>
    <w:rsid w:val="529B5DCD"/>
    <w:rsid w:val="530C1E1C"/>
    <w:rsid w:val="53730B94"/>
    <w:rsid w:val="538F43AA"/>
    <w:rsid w:val="539A0B6F"/>
    <w:rsid w:val="54AE44D5"/>
    <w:rsid w:val="54E03211"/>
    <w:rsid w:val="55294043"/>
    <w:rsid w:val="55CE07D5"/>
    <w:rsid w:val="55D87903"/>
    <w:rsid w:val="56133059"/>
    <w:rsid w:val="56BE2897"/>
    <w:rsid w:val="570A3853"/>
    <w:rsid w:val="57282E35"/>
    <w:rsid w:val="572D78FC"/>
    <w:rsid w:val="573518E4"/>
    <w:rsid w:val="57B61731"/>
    <w:rsid w:val="57E50C70"/>
    <w:rsid w:val="58491638"/>
    <w:rsid w:val="58D50E46"/>
    <w:rsid w:val="58EF7BA0"/>
    <w:rsid w:val="59111019"/>
    <w:rsid w:val="595978C2"/>
    <w:rsid w:val="596C6A4F"/>
    <w:rsid w:val="59D47F1C"/>
    <w:rsid w:val="5A540A13"/>
    <w:rsid w:val="5B916F35"/>
    <w:rsid w:val="5B934B29"/>
    <w:rsid w:val="5C525AC3"/>
    <w:rsid w:val="5C647E4F"/>
    <w:rsid w:val="5C681D64"/>
    <w:rsid w:val="5CA67225"/>
    <w:rsid w:val="5D075BAC"/>
    <w:rsid w:val="5D3F1809"/>
    <w:rsid w:val="5D75139B"/>
    <w:rsid w:val="5DB32391"/>
    <w:rsid w:val="5DCD1B9A"/>
    <w:rsid w:val="5DE40028"/>
    <w:rsid w:val="5E9F2679"/>
    <w:rsid w:val="5F282CC5"/>
    <w:rsid w:val="5F9C39C4"/>
    <w:rsid w:val="5FCA0D47"/>
    <w:rsid w:val="60093C4B"/>
    <w:rsid w:val="604E4615"/>
    <w:rsid w:val="60614D86"/>
    <w:rsid w:val="611A7F7B"/>
    <w:rsid w:val="613D23C6"/>
    <w:rsid w:val="6141189D"/>
    <w:rsid w:val="62164A3A"/>
    <w:rsid w:val="62BF2821"/>
    <w:rsid w:val="63133AFA"/>
    <w:rsid w:val="635021CF"/>
    <w:rsid w:val="64076460"/>
    <w:rsid w:val="64E11F7D"/>
    <w:rsid w:val="65033328"/>
    <w:rsid w:val="651C6CC8"/>
    <w:rsid w:val="65263E63"/>
    <w:rsid w:val="65387E3C"/>
    <w:rsid w:val="65865DFB"/>
    <w:rsid w:val="659100FB"/>
    <w:rsid w:val="663631DD"/>
    <w:rsid w:val="667C4660"/>
    <w:rsid w:val="67210960"/>
    <w:rsid w:val="675B4002"/>
    <w:rsid w:val="67936153"/>
    <w:rsid w:val="67C5105F"/>
    <w:rsid w:val="67E81F4D"/>
    <w:rsid w:val="67EC26B1"/>
    <w:rsid w:val="68342FC7"/>
    <w:rsid w:val="68466F71"/>
    <w:rsid w:val="68A4775B"/>
    <w:rsid w:val="68A8006B"/>
    <w:rsid w:val="68A84C7D"/>
    <w:rsid w:val="68A869A6"/>
    <w:rsid w:val="68CB6543"/>
    <w:rsid w:val="69022FDE"/>
    <w:rsid w:val="691B4771"/>
    <w:rsid w:val="69465929"/>
    <w:rsid w:val="6A6630EA"/>
    <w:rsid w:val="6AE02204"/>
    <w:rsid w:val="6B466F5A"/>
    <w:rsid w:val="6B512B39"/>
    <w:rsid w:val="6B5B3C48"/>
    <w:rsid w:val="6B74726C"/>
    <w:rsid w:val="6CD4050B"/>
    <w:rsid w:val="6D8D7A10"/>
    <w:rsid w:val="6DC5358E"/>
    <w:rsid w:val="6E064986"/>
    <w:rsid w:val="6E670B4C"/>
    <w:rsid w:val="6EB622C7"/>
    <w:rsid w:val="6F111B9C"/>
    <w:rsid w:val="6F6234D3"/>
    <w:rsid w:val="6F722A5F"/>
    <w:rsid w:val="6F7662B7"/>
    <w:rsid w:val="70467924"/>
    <w:rsid w:val="704A773A"/>
    <w:rsid w:val="704C26C5"/>
    <w:rsid w:val="706B7F65"/>
    <w:rsid w:val="70D23371"/>
    <w:rsid w:val="71AD62BE"/>
    <w:rsid w:val="71AF06BF"/>
    <w:rsid w:val="72146B13"/>
    <w:rsid w:val="72224FE3"/>
    <w:rsid w:val="72241EA6"/>
    <w:rsid w:val="730952E0"/>
    <w:rsid w:val="73426786"/>
    <w:rsid w:val="738846A6"/>
    <w:rsid w:val="73EB70C6"/>
    <w:rsid w:val="74040FA8"/>
    <w:rsid w:val="75A148F4"/>
    <w:rsid w:val="75BC40C3"/>
    <w:rsid w:val="760C5968"/>
    <w:rsid w:val="767457EF"/>
    <w:rsid w:val="76837B7C"/>
    <w:rsid w:val="76886DF9"/>
    <w:rsid w:val="769950D9"/>
    <w:rsid w:val="76AE5655"/>
    <w:rsid w:val="76E16DC6"/>
    <w:rsid w:val="77516A29"/>
    <w:rsid w:val="776B5B68"/>
    <w:rsid w:val="77F9258B"/>
    <w:rsid w:val="7810348C"/>
    <w:rsid w:val="78211633"/>
    <w:rsid w:val="79957BA1"/>
    <w:rsid w:val="799F2488"/>
    <w:rsid w:val="7A316445"/>
    <w:rsid w:val="7AA77A6B"/>
    <w:rsid w:val="7B111415"/>
    <w:rsid w:val="7B3F44C5"/>
    <w:rsid w:val="7BBE5ABF"/>
    <w:rsid w:val="7BD446A9"/>
    <w:rsid w:val="7C650EFF"/>
    <w:rsid w:val="7C7B741B"/>
    <w:rsid w:val="7CCF76D1"/>
    <w:rsid w:val="7D460ACC"/>
    <w:rsid w:val="7DAE72D4"/>
    <w:rsid w:val="7E1672B2"/>
    <w:rsid w:val="7E6B4EDB"/>
    <w:rsid w:val="7EBC3084"/>
    <w:rsid w:val="7EF63447"/>
    <w:rsid w:val="7F3E5298"/>
    <w:rsid w:val="7FBD4C4E"/>
    <w:rsid w:val="7FCC5C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bCs/>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3842</Words>
  <Characters>4043</Characters>
  <Lines>0</Lines>
  <Paragraphs>0</Paragraphs>
  <TotalTime>24</TotalTime>
  <ScaleCrop>false</ScaleCrop>
  <LinksUpToDate>false</LinksUpToDate>
  <CharactersWithSpaces>4400</CharactersWithSpaces>
  <Application>WPS Office_11.1.0.8496_F1E327BC-269C-435d-A152-05C5408002CA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2019-01-17T02:04:00Z</dcterms:created>
  <dc:creator>egg</dc:creator>
  <cp:lastModifiedBy>egg</cp:lastModifiedBy>
  <cp:lastPrinted>2019-01-25T06:51:00Z</cp:lastPrinted>
  <dcterms:modified xsi:type="dcterms:W3CDTF">2019-03-05T02:35:26Z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2052-11.1.0.8496</vt:lpwstr>
  </property>
</Properties>
</file>